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DE117" w14:textId="77777777" w:rsidR="00DF705B" w:rsidRPr="00DF705B" w:rsidRDefault="00DF705B" w:rsidP="00DF705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Foreword</w:t>
      </w:r>
    </w:p>
    <w:p w14:paraId="7B50F2CA" w14:textId="77777777" w:rsidR="00DF705B" w:rsidRPr="00335051" w:rsidRDefault="00DF705B" w:rsidP="00DF705B">
      <w:pPr>
        <w:spacing w:after="120" w:line="240" w:lineRule="auto"/>
        <w:rPr>
          <w:rFonts w:eastAsia="Times New Roman" w:cstheme="minorHAnsi"/>
        </w:rPr>
      </w:pPr>
    </w:p>
    <w:p w14:paraId="6B7F1B81" w14:textId="77777777" w:rsidR="00DF705B" w:rsidRPr="00DF705B" w:rsidRDefault="00DF705B" w:rsidP="00DF705B">
      <w:pPr>
        <w:autoSpaceDE w:val="0"/>
        <w:autoSpaceDN w:val="0"/>
        <w:adjustRightInd w:val="0"/>
        <w:spacing w:after="120"/>
        <w:rPr>
          <w:rFonts w:eastAsia="Times New Roman" w:cstheme="minorHAnsi"/>
          <w:sz w:val="24"/>
          <w:szCs w:val="24"/>
        </w:rPr>
      </w:pPr>
      <w:r w:rsidRPr="00DF705B">
        <w:rPr>
          <w:rFonts w:eastAsia="Times New Roman" w:cstheme="minorHAnsi"/>
          <w:sz w:val="24"/>
          <w:szCs w:val="24"/>
        </w:rPr>
        <w:t xml:space="preserve">As the Chief Executive Officer of the ATSB, </w:t>
      </w:r>
      <w:r w:rsidR="003205C3">
        <w:rPr>
          <w:rFonts w:eastAsia="Times New Roman" w:cstheme="minorHAnsi"/>
          <w:sz w:val="24"/>
          <w:szCs w:val="24"/>
        </w:rPr>
        <w:t>I am pleased to set out our</w:t>
      </w:r>
      <w:r w:rsidRPr="00DF705B">
        <w:rPr>
          <w:rFonts w:eastAsia="Times New Roman" w:cstheme="minorHAnsi"/>
          <w:sz w:val="24"/>
          <w:szCs w:val="24"/>
        </w:rPr>
        <w:t xml:space="preserve"> commit</w:t>
      </w:r>
      <w:r w:rsidR="00BC4776">
        <w:rPr>
          <w:rFonts w:eastAsia="Times New Roman" w:cstheme="minorHAnsi"/>
          <w:sz w:val="24"/>
          <w:szCs w:val="24"/>
        </w:rPr>
        <w:t>ments</w:t>
      </w:r>
      <w:r w:rsidRPr="00DF705B">
        <w:rPr>
          <w:rFonts w:eastAsia="Times New Roman" w:cstheme="minorHAnsi"/>
          <w:sz w:val="24"/>
          <w:szCs w:val="24"/>
        </w:rPr>
        <w:t xml:space="preserve"> in support of the Australian Government’s </w:t>
      </w:r>
      <w:r w:rsidRPr="00FC5AC3">
        <w:rPr>
          <w:rFonts w:eastAsia="Times New Roman" w:cstheme="minorHAnsi"/>
          <w:i/>
          <w:sz w:val="24"/>
          <w:szCs w:val="24"/>
        </w:rPr>
        <w:t>Multicultural Access and Equity Policy</w:t>
      </w:r>
      <w:r w:rsidR="00FC5AC3" w:rsidRPr="00FC5AC3">
        <w:rPr>
          <w:rFonts w:eastAsia="Times New Roman" w:cstheme="minorHAnsi"/>
          <w:i/>
          <w:sz w:val="24"/>
          <w:szCs w:val="24"/>
        </w:rPr>
        <w:t>: Respecting diversity. Improving responsiveness.</w:t>
      </w:r>
    </w:p>
    <w:p w14:paraId="064F01E7" w14:textId="77777777" w:rsidR="00DF705B" w:rsidRPr="00DF705B" w:rsidRDefault="00DF705B" w:rsidP="00DF705B">
      <w:pPr>
        <w:rPr>
          <w:rFonts w:cstheme="minorHAnsi"/>
          <w:sz w:val="24"/>
          <w:szCs w:val="24"/>
          <w:lang w:eastAsia="en-AU"/>
        </w:rPr>
      </w:pPr>
      <w:r w:rsidRPr="00DF705B">
        <w:rPr>
          <w:rFonts w:cstheme="minorHAnsi"/>
          <w:sz w:val="24"/>
          <w:szCs w:val="24"/>
          <w:lang w:eastAsia="en-AU"/>
        </w:rPr>
        <w:t xml:space="preserve">With the implementation of this </w:t>
      </w:r>
      <w:bookmarkStart w:id="0" w:name="_GoBack"/>
      <w:r w:rsidRPr="00DF705B">
        <w:rPr>
          <w:rFonts w:cstheme="minorHAnsi"/>
          <w:sz w:val="24"/>
          <w:szCs w:val="24"/>
          <w:lang w:eastAsia="en-AU"/>
        </w:rPr>
        <w:t>Multicultural Action Plan</w:t>
      </w:r>
      <w:bookmarkEnd w:id="0"/>
      <w:r w:rsidRPr="00DF705B">
        <w:rPr>
          <w:rFonts w:cstheme="minorHAnsi"/>
          <w:sz w:val="24"/>
          <w:szCs w:val="24"/>
          <w:lang w:eastAsia="en-AU"/>
        </w:rPr>
        <w:t>, the ATSB aims to enhance its understanding of the needs</w:t>
      </w:r>
      <w:r w:rsidR="00BC4776">
        <w:rPr>
          <w:rFonts w:cstheme="minorHAnsi"/>
          <w:sz w:val="24"/>
          <w:szCs w:val="24"/>
          <w:lang w:eastAsia="en-AU"/>
        </w:rPr>
        <w:t>, as they relate to our work,</w:t>
      </w:r>
      <w:r w:rsidRPr="00DF705B">
        <w:rPr>
          <w:rFonts w:cstheme="minorHAnsi"/>
          <w:sz w:val="24"/>
          <w:szCs w:val="24"/>
          <w:lang w:eastAsia="en-AU"/>
        </w:rPr>
        <w:t xml:space="preserve"> of culturally and linguistically diverse (CALD) communities and the people that comprise them.</w:t>
      </w:r>
      <w:r w:rsidRPr="00DF705B">
        <w:rPr>
          <w:rFonts w:cstheme="minorHAnsi"/>
          <w:b/>
          <w:sz w:val="24"/>
          <w:szCs w:val="24"/>
          <w:lang w:eastAsia="en-AU"/>
        </w:rPr>
        <w:t xml:space="preserve"> </w:t>
      </w:r>
      <w:r w:rsidR="00BC4776">
        <w:rPr>
          <w:rFonts w:cstheme="minorHAnsi"/>
          <w:sz w:val="24"/>
          <w:szCs w:val="24"/>
          <w:lang w:eastAsia="en-AU"/>
        </w:rPr>
        <w:t>As part of the Plan, we will continue to ensure</w:t>
      </w:r>
      <w:r w:rsidRPr="00DF705B">
        <w:rPr>
          <w:rFonts w:cstheme="minorHAnsi"/>
          <w:sz w:val="24"/>
          <w:szCs w:val="24"/>
          <w:lang w:eastAsia="en-AU"/>
        </w:rPr>
        <w:t xml:space="preserve"> the ATSB</w:t>
      </w:r>
      <w:r w:rsidR="00BC4776">
        <w:rPr>
          <w:rFonts w:cstheme="minorHAnsi"/>
          <w:sz w:val="24"/>
          <w:szCs w:val="24"/>
          <w:lang w:eastAsia="en-AU"/>
        </w:rPr>
        <w:t>’s</w:t>
      </w:r>
      <w:r w:rsidRPr="00DF705B">
        <w:rPr>
          <w:rFonts w:cstheme="minorHAnsi"/>
          <w:sz w:val="24"/>
          <w:szCs w:val="24"/>
          <w:lang w:eastAsia="en-AU"/>
        </w:rPr>
        <w:t xml:space="preserve"> </w:t>
      </w:r>
      <w:proofErr w:type="gramStart"/>
      <w:r w:rsidRPr="00DF705B">
        <w:rPr>
          <w:rFonts w:cstheme="minorHAnsi"/>
          <w:sz w:val="24"/>
          <w:szCs w:val="24"/>
          <w:lang w:eastAsia="en-AU"/>
        </w:rPr>
        <w:t>staff are</w:t>
      </w:r>
      <w:proofErr w:type="gramEnd"/>
      <w:r w:rsidRPr="00DF705B">
        <w:rPr>
          <w:rFonts w:cstheme="minorHAnsi"/>
          <w:sz w:val="24"/>
          <w:szCs w:val="24"/>
          <w:lang w:eastAsia="en-AU"/>
        </w:rPr>
        <w:t xml:space="preserve"> culturally aware and familiar with </w:t>
      </w:r>
      <w:r w:rsidR="00BC4776">
        <w:rPr>
          <w:rFonts w:cstheme="minorHAnsi"/>
          <w:sz w:val="24"/>
          <w:szCs w:val="24"/>
          <w:lang w:eastAsia="en-AU"/>
        </w:rPr>
        <w:t xml:space="preserve">and receptive to </w:t>
      </w:r>
      <w:r w:rsidRPr="00DF705B">
        <w:rPr>
          <w:rFonts w:cstheme="minorHAnsi"/>
          <w:sz w:val="24"/>
          <w:szCs w:val="24"/>
          <w:lang w:eastAsia="en-AU"/>
        </w:rPr>
        <w:t xml:space="preserve">the needs and issues </w:t>
      </w:r>
      <w:r w:rsidR="00BC4776">
        <w:rPr>
          <w:rFonts w:cstheme="minorHAnsi"/>
          <w:sz w:val="24"/>
          <w:szCs w:val="24"/>
          <w:lang w:eastAsia="en-AU"/>
        </w:rPr>
        <w:t>of</w:t>
      </w:r>
      <w:r w:rsidRPr="00DF705B">
        <w:rPr>
          <w:rFonts w:cstheme="minorHAnsi"/>
          <w:sz w:val="24"/>
          <w:szCs w:val="24"/>
          <w:lang w:eastAsia="en-AU"/>
        </w:rPr>
        <w:t xml:space="preserve"> </w:t>
      </w:r>
      <w:r>
        <w:rPr>
          <w:rFonts w:cstheme="minorHAnsi"/>
          <w:sz w:val="24"/>
          <w:szCs w:val="24"/>
          <w:lang w:eastAsia="en-AU"/>
        </w:rPr>
        <w:t xml:space="preserve">our </w:t>
      </w:r>
      <w:r w:rsidRPr="00DF705B">
        <w:rPr>
          <w:rFonts w:cstheme="minorHAnsi"/>
          <w:sz w:val="24"/>
          <w:szCs w:val="24"/>
          <w:lang w:eastAsia="en-AU"/>
        </w:rPr>
        <w:t xml:space="preserve">CALD stakeholders. </w:t>
      </w:r>
    </w:p>
    <w:p w14:paraId="2008ACE6" w14:textId="77777777" w:rsidR="00DF705B" w:rsidRPr="00DF705B" w:rsidRDefault="00DF705B" w:rsidP="00DF705B">
      <w:pPr>
        <w:rPr>
          <w:rFonts w:cstheme="minorHAnsi"/>
          <w:sz w:val="24"/>
          <w:szCs w:val="24"/>
          <w:lang w:eastAsia="en-AU"/>
        </w:rPr>
      </w:pPr>
      <w:r w:rsidRPr="00DF705B">
        <w:rPr>
          <w:rFonts w:cstheme="minorHAnsi"/>
          <w:sz w:val="24"/>
          <w:szCs w:val="24"/>
          <w:lang w:eastAsia="en-AU"/>
        </w:rPr>
        <w:t xml:space="preserve">To </w:t>
      </w:r>
      <w:r w:rsidR="00BC4776">
        <w:rPr>
          <w:rFonts w:cstheme="minorHAnsi"/>
          <w:sz w:val="24"/>
          <w:szCs w:val="24"/>
          <w:lang w:eastAsia="en-AU"/>
        </w:rPr>
        <w:t>support my personal commitment to multicultural access and equity</w:t>
      </w:r>
      <w:r w:rsidRPr="00DF705B">
        <w:rPr>
          <w:rFonts w:cstheme="minorHAnsi"/>
          <w:sz w:val="24"/>
          <w:szCs w:val="24"/>
          <w:lang w:eastAsia="en-AU"/>
        </w:rPr>
        <w:t xml:space="preserve">, I have appointed Mr Adam Charlton to </w:t>
      </w:r>
      <w:r w:rsidR="00FA2638">
        <w:rPr>
          <w:rFonts w:cstheme="minorHAnsi"/>
          <w:sz w:val="24"/>
          <w:szCs w:val="24"/>
          <w:lang w:eastAsia="en-AU"/>
        </w:rPr>
        <w:t>champion the core</w:t>
      </w:r>
      <w:r w:rsidRPr="00DF705B">
        <w:rPr>
          <w:rFonts w:cstheme="minorHAnsi"/>
          <w:sz w:val="24"/>
          <w:szCs w:val="24"/>
          <w:lang w:eastAsia="en-AU"/>
        </w:rPr>
        <w:t xml:space="preserve"> obligations and objectives </w:t>
      </w:r>
      <w:r w:rsidR="00BC4776">
        <w:rPr>
          <w:rFonts w:cstheme="minorHAnsi"/>
          <w:sz w:val="24"/>
          <w:szCs w:val="24"/>
          <w:lang w:eastAsia="en-AU"/>
        </w:rPr>
        <w:t xml:space="preserve">of our </w:t>
      </w:r>
      <w:r w:rsidRPr="00DF705B">
        <w:rPr>
          <w:rFonts w:cstheme="minorHAnsi"/>
          <w:sz w:val="24"/>
          <w:szCs w:val="24"/>
          <w:lang w:eastAsia="en-AU"/>
        </w:rPr>
        <w:t>Plan. Mr Charlton</w:t>
      </w:r>
      <w:r w:rsidR="00BC4776">
        <w:rPr>
          <w:rFonts w:cstheme="minorHAnsi"/>
          <w:sz w:val="24"/>
          <w:szCs w:val="24"/>
          <w:lang w:eastAsia="en-AU"/>
        </w:rPr>
        <w:t xml:space="preserve"> has</w:t>
      </w:r>
      <w:r w:rsidRPr="00DF705B">
        <w:rPr>
          <w:rFonts w:cstheme="minorHAnsi"/>
          <w:sz w:val="24"/>
          <w:szCs w:val="24"/>
          <w:lang w:eastAsia="en-AU"/>
        </w:rPr>
        <w:t xml:space="preserve"> </w:t>
      </w:r>
      <w:r w:rsidR="00BC4776">
        <w:rPr>
          <w:rFonts w:cstheme="minorHAnsi"/>
          <w:sz w:val="24"/>
          <w:szCs w:val="24"/>
          <w:lang w:eastAsia="en-AU"/>
        </w:rPr>
        <w:t>appropriate</w:t>
      </w:r>
      <w:r w:rsidRPr="00DF705B">
        <w:rPr>
          <w:rFonts w:cstheme="minorHAnsi"/>
          <w:sz w:val="24"/>
          <w:szCs w:val="24"/>
          <w:lang w:eastAsia="en-AU"/>
        </w:rPr>
        <w:t xml:space="preserve"> tertiary qualifications </w:t>
      </w:r>
      <w:r w:rsidR="00BC4776">
        <w:rPr>
          <w:rFonts w:cstheme="minorHAnsi"/>
          <w:sz w:val="24"/>
          <w:szCs w:val="24"/>
          <w:lang w:eastAsia="en-AU"/>
        </w:rPr>
        <w:t xml:space="preserve">and extensive experience in working with people from diverse cultural backgrounds and I am grateful he has agreed </w:t>
      </w:r>
      <w:r w:rsidR="00FC5AC3">
        <w:rPr>
          <w:rFonts w:cstheme="minorHAnsi"/>
          <w:sz w:val="24"/>
          <w:szCs w:val="24"/>
          <w:lang w:eastAsia="en-AU"/>
        </w:rPr>
        <w:t>to take</w:t>
      </w:r>
      <w:r w:rsidRPr="00DF705B">
        <w:rPr>
          <w:rFonts w:cstheme="minorHAnsi"/>
          <w:sz w:val="24"/>
          <w:szCs w:val="24"/>
          <w:lang w:eastAsia="en-AU"/>
        </w:rPr>
        <w:t xml:space="preserve"> on this</w:t>
      </w:r>
      <w:r w:rsidR="00FC5AC3">
        <w:rPr>
          <w:rFonts w:cstheme="minorHAnsi"/>
          <w:sz w:val="24"/>
          <w:szCs w:val="24"/>
          <w:lang w:eastAsia="en-AU"/>
        </w:rPr>
        <w:t xml:space="preserve"> important</w:t>
      </w:r>
      <w:r w:rsidRPr="00DF705B">
        <w:rPr>
          <w:rFonts w:cstheme="minorHAnsi"/>
          <w:sz w:val="24"/>
          <w:szCs w:val="24"/>
          <w:lang w:eastAsia="en-AU"/>
        </w:rPr>
        <w:t xml:space="preserve"> leadership role.</w:t>
      </w:r>
    </w:p>
    <w:p w14:paraId="07DDACF4" w14:textId="77777777" w:rsidR="00DF705B" w:rsidRPr="00DF705B" w:rsidRDefault="00DF705B" w:rsidP="00BC4776">
      <w:pPr>
        <w:rPr>
          <w:rFonts w:eastAsia="Times New Roman" w:cstheme="minorHAnsi"/>
          <w:sz w:val="24"/>
          <w:szCs w:val="24"/>
        </w:rPr>
      </w:pPr>
      <w:r w:rsidRPr="00DF705B">
        <w:rPr>
          <w:rFonts w:cstheme="minorHAnsi"/>
          <w:sz w:val="24"/>
          <w:szCs w:val="24"/>
          <w:lang w:eastAsia="en-AU"/>
        </w:rPr>
        <w:t>This inaugural Plan</w:t>
      </w:r>
      <w:r w:rsidR="00BC4776">
        <w:rPr>
          <w:rFonts w:cstheme="minorHAnsi"/>
          <w:sz w:val="24"/>
          <w:szCs w:val="24"/>
          <w:lang w:eastAsia="en-AU"/>
        </w:rPr>
        <w:t xml:space="preserve"> lays out the ATSB’s</w:t>
      </w:r>
      <w:r w:rsidR="00BC4776" w:rsidRPr="00DF705B">
        <w:rPr>
          <w:rFonts w:cstheme="minorHAnsi"/>
          <w:sz w:val="24"/>
          <w:szCs w:val="24"/>
          <w:lang w:eastAsia="en-AU"/>
        </w:rPr>
        <w:t xml:space="preserve"> vision for</w:t>
      </w:r>
      <w:r w:rsidR="00BC4776" w:rsidRPr="00BC4776">
        <w:rPr>
          <w:rFonts w:cstheme="minorHAnsi"/>
          <w:sz w:val="24"/>
          <w:szCs w:val="24"/>
          <w:lang w:eastAsia="en-AU"/>
        </w:rPr>
        <w:t xml:space="preserve"> </w:t>
      </w:r>
      <w:r w:rsidR="00BC4776" w:rsidRPr="00DF705B">
        <w:rPr>
          <w:rFonts w:cstheme="minorHAnsi"/>
          <w:sz w:val="24"/>
          <w:szCs w:val="24"/>
          <w:lang w:eastAsia="en-AU"/>
        </w:rPr>
        <w:t>and commitment to multicultural access and equity</w:t>
      </w:r>
      <w:r w:rsidR="00BC4776">
        <w:rPr>
          <w:rFonts w:cstheme="minorHAnsi"/>
          <w:sz w:val="24"/>
          <w:szCs w:val="24"/>
          <w:lang w:eastAsia="en-AU"/>
        </w:rPr>
        <w:t>.</w:t>
      </w:r>
      <w:r w:rsidRPr="00DF705B">
        <w:rPr>
          <w:rFonts w:cstheme="minorHAnsi"/>
          <w:sz w:val="24"/>
          <w:szCs w:val="24"/>
          <w:lang w:eastAsia="en-AU"/>
        </w:rPr>
        <w:t xml:space="preserve"> </w:t>
      </w:r>
      <w:r w:rsidR="00837FD9">
        <w:rPr>
          <w:rFonts w:cstheme="minorHAnsi"/>
          <w:sz w:val="24"/>
          <w:szCs w:val="24"/>
          <w:lang w:eastAsia="en-AU"/>
        </w:rPr>
        <w:t>O</w:t>
      </w:r>
      <w:r w:rsidR="0007333C">
        <w:rPr>
          <w:rFonts w:cstheme="minorHAnsi"/>
          <w:sz w:val="24"/>
          <w:szCs w:val="24"/>
          <w:lang w:eastAsia="en-AU"/>
        </w:rPr>
        <w:t>ver the coming years we</w:t>
      </w:r>
      <w:r w:rsidRPr="00DF705B">
        <w:rPr>
          <w:rFonts w:cstheme="minorHAnsi"/>
          <w:sz w:val="24"/>
          <w:szCs w:val="24"/>
          <w:lang w:eastAsia="en-AU"/>
        </w:rPr>
        <w:t xml:space="preserve"> will continue to</w:t>
      </w:r>
      <w:r w:rsidR="00C91E01">
        <w:rPr>
          <w:rFonts w:cstheme="minorHAnsi"/>
          <w:sz w:val="24"/>
          <w:szCs w:val="24"/>
          <w:lang w:eastAsia="en-AU"/>
        </w:rPr>
        <w:t xml:space="preserve"> </w:t>
      </w:r>
      <w:r w:rsidR="00837FD9">
        <w:rPr>
          <w:rFonts w:cstheme="minorHAnsi"/>
          <w:sz w:val="24"/>
          <w:szCs w:val="24"/>
          <w:lang w:eastAsia="en-AU"/>
        </w:rPr>
        <w:t>learn more about how to realise this vision and commitment in practical ways</w:t>
      </w:r>
      <w:r w:rsidRPr="00DF705B">
        <w:rPr>
          <w:rFonts w:cstheme="minorHAnsi"/>
          <w:sz w:val="24"/>
          <w:szCs w:val="24"/>
          <w:lang w:eastAsia="en-AU"/>
        </w:rPr>
        <w:t xml:space="preserve">. In the interim, </w:t>
      </w:r>
      <w:r w:rsidRPr="00DF705B">
        <w:rPr>
          <w:rFonts w:eastAsia="Times New Roman" w:cstheme="minorHAnsi"/>
          <w:sz w:val="24"/>
          <w:szCs w:val="24"/>
        </w:rPr>
        <w:t xml:space="preserve">I encourage all ATSB </w:t>
      </w:r>
      <w:r w:rsidR="00837FD9">
        <w:rPr>
          <w:rFonts w:eastAsia="Times New Roman" w:cstheme="minorHAnsi"/>
          <w:sz w:val="24"/>
          <w:szCs w:val="24"/>
        </w:rPr>
        <w:t>staff</w:t>
      </w:r>
      <w:r w:rsidRPr="00DF705B">
        <w:rPr>
          <w:rFonts w:eastAsia="Times New Roman" w:cstheme="minorHAnsi"/>
          <w:sz w:val="24"/>
          <w:szCs w:val="24"/>
        </w:rPr>
        <w:t xml:space="preserve"> to make themselves familiar with this Plan and contribute to its overall success.</w:t>
      </w:r>
    </w:p>
    <w:p w14:paraId="5E40C55C" w14:textId="77777777" w:rsidR="00DF705B" w:rsidRPr="00DF705B" w:rsidRDefault="00DF705B" w:rsidP="00BC4776">
      <w:pPr>
        <w:rPr>
          <w:rFonts w:cstheme="minorHAnsi"/>
          <w:sz w:val="24"/>
          <w:szCs w:val="24"/>
          <w:lang w:eastAsia="en-AU"/>
        </w:rPr>
      </w:pPr>
    </w:p>
    <w:p w14:paraId="75E04784" w14:textId="77777777" w:rsidR="00DF705B" w:rsidRPr="00DF705B" w:rsidRDefault="00DF705B" w:rsidP="00BC4776">
      <w:pPr>
        <w:rPr>
          <w:rFonts w:eastAsia="Times New Roman" w:cstheme="minorHAnsi"/>
          <w:sz w:val="24"/>
          <w:szCs w:val="24"/>
        </w:rPr>
      </w:pPr>
    </w:p>
    <w:p w14:paraId="38247EC7" w14:textId="77777777" w:rsidR="00DF705B" w:rsidRPr="00DF705B" w:rsidRDefault="00DF705B" w:rsidP="00BC4776">
      <w:pPr>
        <w:rPr>
          <w:rFonts w:eastAsia="Times New Roman" w:cstheme="minorHAnsi"/>
          <w:sz w:val="24"/>
          <w:szCs w:val="24"/>
        </w:rPr>
      </w:pPr>
    </w:p>
    <w:p w14:paraId="6B205A74" w14:textId="77777777" w:rsidR="00DF705B" w:rsidRPr="00DF705B" w:rsidRDefault="00DF705B" w:rsidP="00DF705B">
      <w:pPr>
        <w:spacing w:after="120" w:line="240" w:lineRule="auto"/>
        <w:rPr>
          <w:rFonts w:eastAsia="Times New Roman" w:cstheme="minorHAnsi"/>
          <w:sz w:val="24"/>
          <w:szCs w:val="24"/>
        </w:rPr>
      </w:pPr>
      <w:r w:rsidRPr="00DF705B">
        <w:rPr>
          <w:rFonts w:eastAsia="Times New Roman" w:cstheme="minorHAnsi"/>
          <w:sz w:val="24"/>
          <w:szCs w:val="24"/>
        </w:rPr>
        <w:t>Martin Dolan</w:t>
      </w:r>
    </w:p>
    <w:p w14:paraId="533AFCE4" w14:textId="77777777" w:rsidR="007B5F0F" w:rsidRDefault="007B5F0F"/>
    <w:p w14:paraId="19048E46" w14:textId="77777777" w:rsidR="00DF705B" w:rsidRDefault="00DF705B"/>
    <w:p w14:paraId="5ED2C5EE" w14:textId="77777777" w:rsidR="00DF705B" w:rsidRDefault="00DF705B"/>
    <w:p w14:paraId="570025A2" w14:textId="77777777" w:rsidR="002B1682" w:rsidRDefault="002B1682"/>
    <w:p w14:paraId="3BB0A074" w14:textId="77777777" w:rsidR="00DF705B" w:rsidRDefault="00DF705B"/>
    <w:p w14:paraId="02084B80" w14:textId="77777777" w:rsidR="00DF705B" w:rsidRDefault="00DF705B"/>
    <w:p w14:paraId="13451A4F" w14:textId="77777777" w:rsidR="00DF705B" w:rsidRDefault="00DF705B"/>
    <w:p w14:paraId="5D0F1401" w14:textId="77777777" w:rsidR="00DF705B" w:rsidRDefault="00DF705B"/>
    <w:p w14:paraId="267F49E6" w14:textId="77777777" w:rsidR="00A73358" w:rsidRDefault="00A73358">
      <w:pPr>
        <w:rPr>
          <w:b/>
          <w:sz w:val="24"/>
          <w:szCs w:val="24"/>
        </w:rPr>
      </w:pPr>
    </w:p>
    <w:p w14:paraId="7C42C6BB" w14:textId="77777777" w:rsidR="00594C89" w:rsidRDefault="00594C89" w:rsidP="00A73358">
      <w:pPr>
        <w:autoSpaceDE w:val="0"/>
        <w:autoSpaceDN w:val="0"/>
        <w:adjustRightInd w:val="0"/>
        <w:spacing w:after="0" w:line="240" w:lineRule="auto"/>
        <w:rPr>
          <w:rFonts w:cs="UniversLT-Light"/>
          <w:sz w:val="24"/>
          <w:szCs w:val="24"/>
          <w:u w:val="single"/>
        </w:rPr>
      </w:pPr>
    </w:p>
    <w:p w14:paraId="28CEED65" w14:textId="77777777" w:rsidR="00594C89" w:rsidRPr="00A73358" w:rsidRDefault="00594C89" w:rsidP="00594C89">
      <w:pPr>
        <w:rPr>
          <w:b/>
          <w:sz w:val="24"/>
          <w:szCs w:val="24"/>
        </w:rPr>
      </w:pPr>
      <w:r w:rsidRPr="00A73358">
        <w:rPr>
          <w:b/>
          <w:sz w:val="24"/>
          <w:szCs w:val="24"/>
        </w:rPr>
        <w:t>Our Agency</w:t>
      </w:r>
    </w:p>
    <w:p w14:paraId="2576001A" w14:textId="77777777" w:rsidR="00594C89" w:rsidRDefault="00594C89" w:rsidP="00A73358">
      <w:pPr>
        <w:autoSpaceDE w:val="0"/>
        <w:autoSpaceDN w:val="0"/>
        <w:adjustRightInd w:val="0"/>
        <w:spacing w:after="0" w:line="240" w:lineRule="auto"/>
        <w:rPr>
          <w:rFonts w:cs="UniversLT-Light"/>
          <w:sz w:val="24"/>
          <w:szCs w:val="24"/>
          <w:u w:val="single"/>
        </w:rPr>
      </w:pPr>
    </w:p>
    <w:p w14:paraId="3AEEB911" w14:textId="77777777" w:rsidR="00A73358" w:rsidRPr="00A73358" w:rsidRDefault="00A73358" w:rsidP="00A73358">
      <w:pPr>
        <w:autoSpaceDE w:val="0"/>
        <w:autoSpaceDN w:val="0"/>
        <w:adjustRightInd w:val="0"/>
        <w:spacing w:after="0" w:line="240" w:lineRule="auto"/>
        <w:rPr>
          <w:rFonts w:cs="UniversLT-Light"/>
          <w:sz w:val="24"/>
          <w:szCs w:val="24"/>
          <w:u w:val="single"/>
        </w:rPr>
      </w:pPr>
      <w:r w:rsidRPr="00A73358">
        <w:rPr>
          <w:rFonts w:cs="UniversLT-Light"/>
          <w:sz w:val="24"/>
          <w:szCs w:val="24"/>
          <w:u w:val="single"/>
        </w:rPr>
        <w:t>Who we are</w:t>
      </w:r>
    </w:p>
    <w:p w14:paraId="733E8FEC" w14:textId="77777777" w:rsidR="00A73358" w:rsidRPr="00A73358" w:rsidRDefault="00A73358" w:rsidP="00A73358">
      <w:pPr>
        <w:autoSpaceDE w:val="0"/>
        <w:autoSpaceDN w:val="0"/>
        <w:adjustRightInd w:val="0"/>
        <w:spacing w:after="0" w:line="240" w:lineRule="auto"/>
        <w:rPr>
          <w:rFonts w:cs="HelveticaNeueLT-Roman"/>
          <w:sz w:val="24"/>
          <w:szCs w:val="24"/>
        </w:rPr>
      </w:pPr>
    </w:p>
    <w:p w14:paraId="42244D44" w14:textId="77777777" w:rsidR="00A73358" w:rsidRPr="00A73358" w:rsidRDefault="00A73358" w:rsidP="00A73358">
      <w:pPr>
        <w:autoSpaceDE w:val="0"/>
        <w:autoSpaceDN w:val="0"/>
        <w:adjustRightInd w:val="0"/>
        <w:spacing w:after="0" w:line="240" w:lineRule="auto"/>
        <w:rPr>
          <w:rFonts w:cs="HelveticaNeueLT-Roman"/>
          <w:sz w:val="24"/>
          <w:szCs w:val="24"/>
        </w:rPr>
      </w:pPr>
      <w:r w:rsidRPr="00A73358">
        <w:rPr>
          <w:rFonts w:cs="HelveticaNeueLT-Roman"/>
          <w:sz w:val="24"/>
          <w:szCs w:val="24"/>
        </w:rPr>
        <w:t xml:space="preserve">The Australian Transport Safety Bureau (ATSB) is Australia’s national transport safety investigator. The ATSB is established as an independent agency by the </w:t>
      </w:r>
      <w:r w:rsidRPr="00A73358">
        <w:rPr>
          <w:rFonts w:cs="HelveticaNeueLT-Italic"/>
          <w:i/>
          <w:iCs/>
          <w:sz w:val="24"/>
          <w:szCs w:val="24"/>
        </w:rPr>
        <w:t xml:space="preserve">Transport Safety Investigation Act 2003 </w:t>
      </w:r>
      <w:r w:rsidRPr="00A73358">
        <w:rPr>
          <w:rFonts w:cs="HelveticaNeueLT-Roman"/>
          <w:sz w:val="24"/>
          <w:szCs w:val="24"/>
        </w:rPr>
        <w:t>(TSI Act). It is funded by the Australian Government to deliver improved transport safety in Australia, including through:</w:t>
      </w:r>
    </w:p>
    <w:p w14:paraId="05B4FF5A" w14:textId="77777777" w:rsidR="00342737" w:rsidRDefault="00A73358" w:rsidP="0034273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HelveticaNeueLT-Roman"/>
          <w:sz w:val="24"/>
          <w:szCs w:val="24"/>
        </w:rPr>
      </w:pPr>
      <w:r w:rsidRPr="00A73358">
        <w:rPr>
          <w:rFonts w:cs="HelveticaNeueLT-Roman"/>
          <w:sz w:val="24"/>
          <w:szCs w:val="24"/>
        </w:rPr>
        <w:t xml:space="preserve"> independent ‘no blame’ investigation of transport accidents and other safety occurrences</w:t>
      </w:r>
    </w:p>
    <w:p w14:paraId="0BB4C46A" w14:textId="77777777" w:rsidR="00342737" w:rsidRDefault="00A73358" w:rsidP="0034273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HelveticaNeueLT-Roman"/>
          <w:sz w:val="24"/>
          <w:szCs w:val="24"/>
        </w:rPr>
      </w:pPr>
      <w:r w:rsidRPr="00342737">
        <w:rPr>
          <w:rFonts w:cs="HelveticaNeueLT-Roman"/>
          <w:sz w:val="24"/>
          <w:szCs w:val="24"/>
        </w:rPr>
        <w:t>safety data recording, analysis and research</w:t>
      </w:r>
    </w:p>
    <w:p w14:paraId="30DFCA22" w14:textId="77777777" w:rsidR="00A73358" w:rsidRPr="00342737" w:rsidRDefault="00A73358" w:rsidP="0034273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HelveticaNeueLT-Roman"/>
          <w:sz w:val="24"/>
          <w:szCs w:val="24"/>
        </w:rPr>
      </w:pPr>
      <w:proofErr w:type="gramStart"/>
      <w:r w:rsidRPr="00342737">
        <w:rPr>
          <w:rFonts w:cs="HelveticaNeueLT-Roman"/>
          <w:sz w:val="24"/>
          <w:szCs w:val="24"/>
        </w:rPr>
        <w:t>fostering</w:t>
      </w:r>
      <w:proofErr w:type="gramEnd"/>
      <w:r w:rsidRPr="00342737">
        <w:rPr>
          <w:rFonts w:cs="HelveticaNeueLT-Roman"/>
          <w:sz w:val="24"/>
          <w:szCs w:val="24"/>
        </w:rPr>
        <w:t xml:space="preserve"> safety awareness, knowledge and action.</w:t>
      </w:r>
    </w:p>
    <w:p w14:paraId="145A59F7" w14:textId="77777777" w:rsidR="00A73358" w:rsidRPr="00A73358" w:rsidRDefault="00A73358" w:rsidP="00A73358">
      <w:pPr>
        <w:pStyle w:val="ListParagraph"/>
        <w:autoSpaceDE w:val="0"/>
        <w:autoSpaceDN w:val="0"/>
        <w:adjustRightInd w:val="0"/>
        <w:spacing w:after="0" w:line="240" w:lineRule="auto"/>
        <w:rPr>
          <w:rFonts w:cs="HelveticaNeueLT-Roman"/>
          <w:sz w:val="24"/>
          <w:szCs w:val="24"/>
        </w:rPr>
      </w:pPr>
    </w:p>
    <w:p w14:paraId="693A0383" w14:textId="77777777" w:rsidR="00A73358" w:rsidRPr="00A73358" w:rsidRDefault="00A73358" w:rsidP="00A73358">
      <w:pPr>
        <w:autoSpaceDE w:val="0"/>
        <w:autoSpaceDN w:val="0"/>
        <w:adjustRightInd w:val="0"/>
        <w:spacing w:after="0" w:line="240" w:lineRule="auto"/>
        <w:rPr>
          <w:rFonts w:cs="UniversLT-Light"/>
          <w:sz w:val="24"/>
          <w:szCs w:val="24"/>
          <w:u w:val="single"/>
        </w:rPr>
      </w:pPr>
      <w:r w:rsidRPr="00A73358">
        <w:rPr>
          <w:rFonts w:cs="UniversLT-Light"/>
          <w:sz w:val="24"/>
          <w:szCs w:val="24"/>
          <w:u w:val="single"/>
        </w:rPr>
        <w:t>What we do</w:t>
      </w:r>
    </w:p>
    <w:p w14:paraId="71A5ADED" w14:textId="77777777" w:rsidR="00A73358" w:rsidRPr="00A73358" w:rsidRDefault="00A73358" w:rsidP="00A73358">
      <w:pPr>
        <w:autoSpaceDE w:val="0"/>
        <w:autoSpaceDN w:val="0"/>
        <w:adjustRightInd w:val="0"/>
        <w:spacing w:after="0" w:line="240" w:lineRule="auto"/>
        <w:rPr>
          <w:rFonts w:cs="HelveticaNeueLT-Roman"/>
          <w:sz w:val="24"/>
          <w:szCs w:val="24"/>
        </w:rPr>
      </w:pPr>
    </w:p>
    <w:p w14:paraId="7C0E482B" w14:textId="77777777" w:rsidR="00A73358" w:rsidRPr="00A73358" w:rsidRDefault="00A73358" w:rsidP="00A73358">
      <w:pPr>
        <w:autoSpaceDE w:val="0"/>
        <w:autoSpaceDN w:val="0"/>
        <w:adjustRightInd w:val="0"/>
        <w:spacing w:after="0" w:line="240" w:lineRule="auto"/>
        <w:rPr>
          <w:rFonts w:cs="HelveticaNeueLT-Roman"/>
          <w:sz w:val="24"/>
          <w:szCs w:val="24"/>
        </w:rPr>
      </w:pPr>
      <w:r w:rsidRPr="00A73358">
        <w:rPr>
          <w:rFonts w:cs="HelveticaNeueLT-Roman"/>
          <w:sz w:val="24"/>
          <w:szCs w:val="24"/>
        </w:rPr>
        <w:t>The ATSB’s primary function is to improve transport safety by inves</w:t>
      </w:r>
      <w:r>
        <w:rPr>
          <w:rFonts w:cs="HelveticaNeueLT-Roman"/>
          <w:sz w:val="24"/>
          <w:szCs w:val="24"/>
        </w:rPr>
        <w:t xml:space="preserve">tigating safety occurrences and </w:t>
      </w:r>
      <w:r w:rsidRPr="00A73358">
        <w:rPr>
          <w:rFonts w:cs="HelveticaNeueLT-Roman"/>
          <w:sz w:val="24"/>
          <w:szCs w:val="24"/>
        </w:rPr>
        <w:t>communicating what we learn. To achieve this, we:</w:t>
      </w:r>
    </w:p>
    <w:p w14:paraId="4AF38930" w14:textId="77777777" w:rsidR="00342737" w:rsidRDefault="00A73358" w:rsidP="0034273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HelveticaNeueLT-Roman"/>
          <w:sz w:val="24"/>
          <w:szCs w:val="24"/>
        </w:rPr>
      </w:pPr>
      <w:r w:rsidRPr="00A73358">
        <w:rPr>
          <w:rFonts w:cs="HelveticaNeueLT-Roman"/>
          <w:sz w:val="24"/>
          <w:szCs w:val="24"/>
        </w:rPr>
        <w:t>focus our resources where they are most likely to result in safety improvements</w:t>
      </w:r>
    </w:p>
    <w:p w14:paraId="7BE2E21B" w14:textId="77777777" w:rsidR="00342737" w:rsidRDefault="00A73358" w:rsidP="0034273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HelveticaNeueLT-Roman"/>
          <w:sz w:val="24"/>
          <w:szCs w:val="24"/>
        </w:rPr>
      </w:pPr>
      <w:r w:rsidRPr="00342737">
        <w:rPr>
          <w:rFonts w:cs="HelveticaNeueLT-Roman"/>
          <w:sz w:val="24"/>
          <w:szCs w:val="24"/>
        </w:rPr>
        <w:t>harness the expertise and information necessary to our safety role</w:t>
      </w:r>
    </w:p>
    <w:p w14:paraId="4A0926AF" w14:textId="77777777" w:rsidR="00342737" w:rsidRDefault="00A73358" w:rsidP="0034273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HelveticaNeueLT-Roman"/>
          <w:sz w:val="24"/>
          <w:szCs w:val="24"/>
        </w:rPr>
      </w:pPr>
      <w:r w:rsidRPr="00342737">
        <w:rPr>
          <w:rFonts w:cs="HelveticaNeueLT-Roman"/>
          <w:sz w:val="24"/>
          <w:szCs w:val="24"/>
        </w:rPr>
        <w:t>conduct impartial, systemic and timely safety investigations</w:t>
      </w:r>
    </w:p>
    <w:p w14:paraId="5C1DF199" w14:textId="77777777" w:rsidR="00342737" w:rsidRDefault="00A73358" w:rsidP="0034273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HelveticaNeueLT-Roman"/>
          <w:sz w:val="24"/>
          <w:szCs w:val="24"/>
        </w:rPr>
      </w:pPr>
      <w:r w:rsidRPr="00342737">
        <w:rPr>
          <w:rFonts w:cs="HelveticaNeueLT-Roman"/>
          <w:sz w:val="24"/>
          <w:szCs w:val="24"/>
        </w:rPr>
        <w:t>identify safety issues based on evidence and expert analysis</w:t>
      </w:r>
    </w:p>
    <w:p w14:paraId="03CA5540" w14:textId="77777777" w:rsidR="00342737" w:rsidRDefault="00A73358" w:rsidP="0034273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HelveticaNeueLT-Roman"/>
          <w:sz w:val="24"/>
          <w:szCs w:val="24"/>
        </w:rPr>
      </w:pPr>
      <w:r w:rsidRPr="00342737">
        <w:rPr>
          <w:rFonts w:cs="HelveticaNeueLT-Roman"/>
          <w:sz w:val="24"/>
          <w:szCs w:val="24"/>
        </w:rPr>
        <w:t>report safety issues clearly and objectively, without attributing blame or liability</w:t>
      </w:r>
    </w:p>
    <w:p w14:paraId="0435237D" w14:textId="77777777" w:rsidR="00342737" w:rsidRDefault="00A73358" w:rsidP="0034273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HelveticaNeueLT-Roman"/>
          <w:sz w:val="24"/>
          <w:szCs w:val="24"/>
        </w:rPr>
      </w:pPr>
      <w:r w:rsidRPr="00342737">
        <w:rPr>
          <w:rFonts w:cs="HelveticaNeueLT-Roman"/>
          <w:sz w:val="24"/>
          <w:szCs w:val="24"/>
        </w:rPr>
        <w:t>ensure the significance of safety issues is clearly understood by all concerned</w:t>
      </w:r>
    </w:p>
    <w:p w14:paraId="059F1E79" w14:textId="77777777" w:rsidR="004D3E55" w:rsidRPr="00342737" w:rsidRDefault="00A73358" w:rsidP="0034273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HelveticaNeueLT-Roman"/>
          <w:sz w:val="24"/>
          <w:szCs w:val="24"/>
        </w:rPr>
      </w:pPr>
      <w:proofErr w:type="gramStart"/>
      <w:r w:rsidRPr="00342737">
        <w:rPr>
          <w:rFonts w:cs="HelveticaNeueLT-Roman"/>
          <w:color w:val="000000"/>
          <w:sz w:val="24"/>
          <w:szCs w:val="24"/>
        </w:rPr>
        <w:t>promote</w:t>
      </w:r>
      <w:proofErr w:type="gramEnd"/>
      <w:r w:rsidRPr="00342737">
        <w:rPr>
          <w:rFonts w:cs="HelveticaNeueLT-Roman"/>
          <w:color w:val="000000"/>
          <w:sz w:val="24"/>
          <w:szCs w:val="24"/>
        </w:rPr>
        <w:t xml:space="preserve"> effective safety action.</w:t>
      </w:r>
    </w:p>
    <w:p w14:paraId="4460B3F1" w14:textId="77777777" w:rsidR="00342737" w:rsidRPr="00342737" w:rsidRDefault="00342737" w:rsidP="00342737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cs="HelveticaNeueLT-Roman"/>
          <w:sz w:val="24"/>
          <w:szCs w:val="24"/>
        </w:rPr>
      </w:pPr>
    </w:p>
    <w:p w14:paraId="4CE3EFEE" w14:textId="77777777" w:rsidR="00FC5AC3" w:rsidRPr="00A73358" w:rsidRDefault="00FC5AC3">
      <w:pPr>
        <w:rPr>
          <w:b/>
          <w:sz w:val="24"/>
          <w:szCs w:val="24"/>
        </w:rPr>
      </w:pPr>
      <w:r w:rsidRPr="00A73358">
        <w:rPr>
          <w:b/>
          <w:sz w:val="24"/>
          <w:szCs w:val="24"/>
        </w:rPr>
        <w:t>Our Agency Multicultural Plan (AMP)</w:t>
      </w:r>
    </w:p>
    <w:p w14:paraId="5F784CF5" w14:textId="77777777" w:rsidR="002F3F8F" w:rsidRDefault="00244FF1" w:rsidP="002F3F8F">
      <w:pPr>
        <w:spacing w:after="0"/>
        <w:rPr>
          <w:sz w:val="24"/>
          <w:szCs w:val="24"/>
        </w:rPr>
      </w:pPr>
      <w:r w:rsidRPr="00A73358">
        <w:rPr>
          <w:sz w:val="24"/>
          <w:szCs w:val="24"/>
        </w:rPr>
        <w:t>This</w:t>
      </w:r>
      <w:r w:rsidR="004D3E55" w:rsidRPr="00A73358">
        <w:rPr>
          <w:sz w:val="24"/>
          <w:szCs w:val="24"/>
        </w:rPr>
        <w:t xml:space="preserve"> AMP has been produced by the Organisational Development Branch in consultation </w:t>
      </w:r>
      <w:r w:rsidR="00F664B9" w:rsidRPr="00A73358">
        <w:rPr>
          <w:sz w:val="24"/>
          <w:szCs w:val="24"/>
        </w:rPr>
        <w:t>with other</w:t>
      </w:r>
      <w:r w:rsidR="004D3E55" w:rsidRPr="00A73358">
        <w:rPr>
          <w:sz w:val="24"/>
          <w:szCs w:val="24"/>
        </w:rPr>
        <w:t xml:space="preserve"> business areas responsible for policies and programs that may</w:t>
      </w:r>
      <w:r w:rsidR="00F664B9" w:rsidRPr="00A73358">
        <w:rPr>
          <w:sz w:val="24"/>
          <w:szCs w:val="24"/>
        </w:rPr>
        <w:t xml:space="preserve"> interact with CADL communities. It</w:t>
      </w:r>
      <w:r w:rsidRPr="00A73358">
        <w:rPr>
          <w:sz w:val="24"/>
          <w:szCs w:val="24"/>
        </w:rPr>
        <w:t xml:space="preserve"> is designed to </w:t>
      </w:r>
      <w:r w:rsidR="002F3F8F">
        <w:rPr>
          <w:sz w:val="24"/>
          <w:szCs w:val="24"/>
        </w:rPr>
        <w:t>recognise</w:t>
      </w:r>
      <w:r w:rsidR="00F5658B">
        <w:rPr>
          <w:sz w:val="24"/>
          <w:szCs w:val="24"/>
        </w:rPr>
        <w:t xml:space="preserve"> and build upon</w:t>
      </w:r>
      <w:r w:rsidR="00F664B9" w:rsidRPr="00A73358">
        <w:rPr>
          <w:sz w:val="24"/>
          <w:szCs w:val="24"/>
        </w:rPr>
        <w:t xml:space="preserve"> a numbe</w:t>
      </w:r>
      <w:r w:rsidR="002F3F8F">
        <w:rPr>
          <w:sz w:val="24"/>
          <w:szCs w:val="24"/>
        </w:rPr>
        <w:t>r of existing business prioritie</w:t>
      </w:r>
      <w:r w:rsidR="00F664B9" w:rsidRPr="00A73358">
        <w:rPr>
          <w:sz w:val="24"/>
          <w:szCs w:val="24"/>
        </w:rPr>
        <w:t>s including:</w:t>
      </w:r>
    </w:p>
    <w:p w14:paraId="252D487E" w14:textId="77777777" w:rsidR="00342737" w:rsidRPr="00342737" w:rsidRDefault="002F3F8F" w:rsidP="00342737">
      <w:pPr>
        <w:pStyle w:val="ListParagraph"/>
        <w:numPr>
          <w:ilvl w:val="0"/>
          <w:numId w:val="25"/>
        </w:numPr>
        <w:spacing w:after="0"/>
        <w:ind w:left="284" w:hanging="284"/>
        <w:rPr>
          <w:sz w:val="24"/>
          <w:szCs w:val="24"/>
        </w:rPr>
      </w:pPr>
      <w:r w:rsidRPr="002F3F8F">
        <w:rPr>
          <w:sz w:val="24"/>
          <w:szCs w:val="24"/>
        </w:rPr>
        <w:t>Regional and international e</w:t>
      </w:r>
      <w:r w:rsidR="00F664B9" w:rsidRPr="002F3F8F">
        <w:rPr>
          <w:sz w:val="24"/>
          <w:szCs w:val="24"/>
        </w:rPr>
        <w:t>ngagement –</w:t>
      </w:r>
      <w:r w:rsidR="00A73358" w:rsidRPr="002F3F8F">
        <w:rPr>
          <w:sz w:val="24"/>
          <w:szCs w:val="24"/>
          <w:lang w:val="en-US"/>
        </w:rPr>
        <w:t xml:space="preserve"> whereby</w:t>
      </w:r>
      <w:r w:rsidR="00A73358" w:rsidRPr="002F3F8F">
        <w:rPr>
          <w:rFonts w:cs="HelveticaNeueLT-Roman"/>
          <w:sz w:val="24"/>
          <w:szCs w:val="24"/>
        </w:rPr>
        <w:t xml:space="preserve"> </w:t>
      </w:r>
      <w:r w:rsidRPr="002F3F8F">
        <w:rPr>
          <w:rFonts w:cs="HelveticaNeueLT-Roman"/>
          <w:sz w:val="24"/>
          <w:szCs w:val="24"/>
        </w:rPr>
        <w:t>w</w:t>
      </w:r>
      <w:r w:rsidR="00A73358" w:rsidRPr="002F3F8F">
        <w:rPr>
          <w:rFonts w:cs="HelveticaNeueLT-Roman"/>
          <w:sz w:val="24"/>
          <w:szCs w:val="24"/>
        </w:rPr>
        <w:t>e will promote engagement with our international counterpart agencies</w:t>
      </w:r>
      <w:r w:rsidRPr="002F3F8F">
        <w:rPr>
          <w:rFonts w:cs="HelveticaNeueLT-Roman"/>
          <w:sz w:val="24"/>
          <w:szCs w:val="24"/>
        </w:rPr>
        <w:t xml:space="preserve"> </w:t>
      </w:r>
      <w:r w:rsidR="00A73358" w:rsidRPr="002F3F8F">
        <w:rPr>
          <w:rFonts w:cs="HelveticaNeueLT-Roman"/>
          <w:sz w:val="24"/>
          <w:szCs w:val="24"/>
        </w:rPr>
        <w:t>and with relevant multilateral organisations, ensuring that safety lessons and</w:t>
      </w:r>
      <w:r w:rsidRPr="002F3F8F">
        <w:rPr>
          <w:rFonts w:cs="HelveticaNeueLT-Roman"/>
          <w:sz w:val="24"/>
          <w:szCs w:val="24"/>
        </w:rPr>
        <w:t xml:space="preserve"> </w:t>
      </w:r>
      <w:r w:rsidR="00A73358" w:rsidRPr="002F3F8F">
        <w:rPr>
          <w:rFonts w:cs="HelveticaNeueLT-Roman"/>
          <w:sz w:val="24"/>
          <w:szCs w:val="24"/>
        </w:rPr>
        <w:t>operational innovations are shared internationally. We will collaborate on</w:t>
      </w:r>
      <w:r w:rsidRPr="002F3F8F">
        <w:rPr>
          <w:rFonts w:cs="HelveticaNeueLT-Roman"/>
          <w:sz w:val="24"/>
          <w:szCs w:val="24"/>
        </w:rPr>
        <w:t xml:space="preserve"> </w:t>
      </w:r>
      <w:r w:rsidR="00A73358" w:rsidRPr="002F3F8F">
        <w:rPr>
          <w:rFonts w:cs="HelveticaNeueLT-Roman"/>
          <w:sz w:val="24"/>
          <w:szCs w:val="24"/>
        </w:rPr>
        <w:t>improving the international standards for transport accident investigation.</w:t>
      </w:r>
      <w:r w:rsidRPr="002F3F8F">
        <w:rPr>
          <w:rFonts w:cs="HelveticaNeueLT-Roman"/>
          <w:sz w:val="24"/>
          <w:szCs w:val="24"/>
        </w:rPr>
        <w:t xml:space="preserve"> </w:t>
      </w:r>
      <w:r w:rsidR="00A73358" w:rsidRPr="002F3F8F">
        <w:rPr>
          <w:rFonts w:cs="HelveticaNeueLT-Roman"/>
          <w:sz w:val="24"/>
          <w:szCs w:val="24"/>
        </w:rPr>
        <w:t>We will actively support initiatives to bui</w:t>
      </w:r>
      <w:r w:rsidRPr="002F3F8F">
        <w:rPr>
          <w:rFonts w:cs="HelveticaNeueLT-Roman"/>
          <w:sz w:val="24"/>
          <w:szCs w:val="24"/>
        </w:rPr>
        <w:t xml:space="preserve">ld aviation and maritime safety </w:t>
      </w:r>
      <w:r w:rsidR="00A73358" w:rsidRPr="002F3F8F">
        <w:rPr>
          <w:rFonts w:cs="HelveticaNeueLT-Roman"/>
          <w:sz w:val="24"/>
          <w:szCs w:val="24"/>
        </w:rPr>
        <w:t>investigation capability in the Asia-Pacific region.</w:t>
      </w:r>
    </w:p>
    <w:p w14:paraId="5542DC6B" w14:textId="77777777" w:rsidR="00C1522F" w:rsidRPr="00342737" w:rsidRDefault="002F3F8F" w:rsidP="00342737">
      <w:pPr>
        <w:pStyle w:val="ListParagraph"/>
        <w:numPr>
          <w:ilvl w:val="0"/>
          <w:numId w:val="25"/>
        </w:numPr>
        <w:spacing w:after="0"/>
        <w:ind w:left="284" w:hanging="284"/>
        <w:rPr>
          <w:sz w:val="24"/>
          <w:szCs w:val="24"/>
        </w:rPr>
      </w:pPr>
      <w:r w:rsidRPr="00342737">
        <w:rPr>
          <w:rFonts w:cs="HelveticaNeueLT-Roman"/>
          <w:sz w:val="24"/>
          <w:szCs w:val="24"/>
        </w:rPr>
        <w:t>Strengthening stakeholder relationships – whereby we will maintain our reputation with industry participants and the travelling public through safety communication and education, and through objective and transparent investigations that include appropriate levels of consultation.</w:t>
      </w:r>
    </w:p>
    <w:p w14:paraId="010EDC20" w14:textId="77777777" w:rsidR="00F5658B" w:rsidRPr="00F5658B" w:rsidRDefault="00F5658B" w:rsidP="00F5658B">
      <w:pPr>
        <w:pStyle w:val="ListParagraph"/>
        <w:autoSpaceDE w:val="0"/>
        <w:autoSpaceDN w:val="0"/>
        <w:adjustRightInd w:val="0"/>
        <w:spacing w:after="0" w:line="240" w:lineRule="auto"/>
        <w:rPr>
          <w:rFonts w:cs="HelveticaNeueLT-Roman"/>
          <w:sz w:val="24"/>
          <w:szCs w:val="24"/>
        </w:rPr>
      </w:pPr>
    </w:p>
    <w:p w14:paraId="321F76A4" w14:textId="77777777" w:rsidR="002F3F8F" w:rsidRPr="002F3F8F" w:rsidRDefault="002F3F8F">
      <w:pPr>
        <w:rPr>
          <w:sz w:val="24"/>
          <w:szCs w:val="24"/>
        </w:rPr>
        <w:sectPr w:rsidR="002F3F8F" w:rsidRPr="002F3F8F" w:rsidSect="00194A2D"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  <w:r>
        <w:rPr>
          <w:sz w:val="24"/>
          <w:szCs w:val="24"/>
        </w:rPr>
        <w:lastRenderedPageBreak/>
        <w:t>Accordingly, our core obligations and key objectives in support of this AMP are detailed within the enclosed tables.</w:t>
      </w:r>
    </w:p>
    <w:p w14:paraId="7C174233" w14:textId="77777777" w:rsidR="00D63B43" w:rsidRPr="00FA3F8E" w:rsidRDefault="00D63B43" w:rsidP="00D63B43">
      <w:pPr>
        <w:rPr>
          <w:b/>
          <w:u w:val="single"/>
        </w:rPr>
      </w:pPr>
      <w:r w:rsidRPr="00FA3F8E">
        <w:rPr>
          <w:b/>
          <w:u w:val="single"/>
        </w:rPr>
        <w:lastRenderedPageBreak/>
        <w:t>Agency Multicultural Plan - Core Obligations and Objectives</w:t>
      </w:r>
    </w:p>
    <w:p w14:paraId="235394F4" w14:textId="77777777" w:rsidR="00D63B43" w:rsidRPr="00D63B43" w:rsidRDefault="00D63B43" w:rsidP="00D63B43">
      <w:pPr>
        <w:rPr>
          <w:b/>
        </w:rPr>
      </w:pP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5242"/>
        <w:gridCol w:w="2208"/>
        <w:gridCol w:w="2156"/>
        <w:gridCol w:w="4568"/>
      </w:tblGrid>
      <w:tr w:rsidR="00BD5123" w14:paraId="29F529A1" w14:textId="77777777" w:rsidTr="00E7171B">
        <w:tc>
          <w:tcPr>
            <w:tcW w:w="14174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58861E98" w14:textId="77777777" w:rsidR="00BD5123" w:rsidRPr="00D63B43" w:rsidRDefault="00BD5123" w:rsidP="00E7171B">
            <w:pPr>
              <w:pStyle w:val="ListParagraph"/>
              <w:numPr>
                <w:ilvl w:val="0"/>
                <w:numId w:val="12"/>
              </w:numPr>
              <w:ind w:left="284" w:hanging="284"/>
              <w:rPr>
                <w:b/>
              </w:rPr>
            </w:pPr>
            <w:r w:rsidRPr="00D63B43">
              <w:rPr>
                <w:b/>
              </w:rPr>
              <w:t>Leadership</w:t>
            </w:r>
            <w:r w:rsidR="003538A0" w:rsidRPr="00D63B43">
              <w:rPr>
                <w:b/>
              </w:rPr>
              <w:t xml:space="preserve"> – providing the guidance and direction for staff to further their understanding of Multicultural Access and Equity and the needs of our CALD stakeholders.</w:t>
            </w:r>
          </w:p>
          <w:p w14:paraId="2C5091C6" w14:textId="77777777" w:rsidR="00E7171B" w:rsidRPr="00815028" w:rsidRDefault="00E7171B" w:rsidP="00E7171B">
            <w:pPr>
              <w:pStyle w:val="ListParagraph"/>
              <w:ind w:left="284"/>
            </w:pPr>
          </w:p>
        </w:tc>
      </w:tr>
      <w:tr w:rsidR="00E7171B" w14:paraId="0F074E6D" w14:textId="77777777" w:rsidTr="00324051">
        <w:tc>
          <w:tcPr>
            <w:tcW w:w="5242" w:type="dxa"/>
            <w:shd w:val="pct10" w:color="auto" w:fill="auto"/>
          </w:tcPr>
          <w:p w14:paraId="3D4AD104" w14:textId="77777777" w:rsidR="00BD5123" w:rsidRPr="00194A2D" w:rsidRDefault="00BD5123">
            <w:pPr>
              <w:rPr>
                <w:b/>
              </w:rPr>
            </w:pPr>
            <w:r w:rsidRPr="00194A2D">
              <w:rPr>
                <w:b/>
              </w:rPr>
              <w:t>Action</w:t>
            </w:r>
          </w:p>
          <w:p w14:paraId="7A4163E3" w14:textId="77777777" w:rsidR="00D04B00" w:rsidRPr="00194A2D" w:rsidRDefault="00D04B00">
            <w:pPr>
              <w:rPr>
                <w:b/>
              </w:rPr>
            </w:pPr>
          </w:p>
        </w:tc>
        <w:tc>
          <w:tcPr>
            <w:tcW w:w="2208" w:type="dxa"/>
            <w:shd w:val="pct10" w:color="auto" w:fill="auto"/>
          </w:tcPr>
          <w:p w14:paraId="39A1E8B6" w14:textId="77777777" w:rsidR="00BD5123" w:rsidRPr="00194A2D" w:rsidRDefault="00BD5123">
            <w:pPr>
              <w:rPr>
                <w:b/>
              </w:rPr>
            </w:pPr>
            <w:r w:rsidRPr="00194A2D">
              <w:rPr>
                <w:b/>
              </w:rPr>
              <w:t>Responsibility</w:t>
            </w:r>
          </w:p>
        </w:tc>
        <w:tc>
          <w:tcPr>
            <w:tcW w:w="2156" w:type="dxa"/>
            <w:shd w:val="pct10" w:color="auto" w:fill="auto"/>
          </w:tcPr>
          <w:p w14:paraId="136961AA" w14:textId="77777777" w:rsidR="00BD5123" w:rsidRPr="00194A2D" w:rsidRDefault="00BD5123">
            <w:pPr>
              <w:rPr>
                <w:b/>
              </w:rPr>
            </w:pPr>
            <w:r w:rsidRPr="00194A2D">
              <w:rPr>
                <w:b/>
              </w:rPr>
              <w:t>Timeline</w:t>
            </w:r>
          </w:p>
        </w:tc>
        <w:tc>
          <w:tcPr>
            <w:tcW w:w="4568" w:type="dxa"/>
            <w:shd w:val="pct10" w:color="auto" w:fill="auto"/>
          </w:tcPr>
          <w:p w14:paraId="4CD47E8A" w14:textId="77777777" w:rsidR="00BD5123" w:rsidRPr="00194A2D" w:rsidRDefault="00E43EEA">
            <w:pPr>
              <w:rPr>
                <w:b/>
              </w:rPr>
            </w:pPr>
            <w:r>
              <w:rPr>
                <w:b/>
              </w:rPr>
              <w:t>Targets</w:t>
            </w:r>
          </w:p>
        </w:tc>
      </w:tr>
      <w:tr w:rsidR="00F8435D" w14:paraId="40B25EB6" w14:textId="77777777" w:rsidTr="00324051">
        <w:tc>
          <w:tcPr>
            <w:tcW w:w="5242" w:type="dxa"/>
          </w:tcPr>
          <w:p w14:paraId="26585A5B" w14:textId="77777777" w:rsidR="00BD5123" w:rsidRDefault="00D04B00" w:rsidP="00D04B00">
            <w:pPr>
              <w:pStyle w:val="ListParagraph"/>
              <w:numPr>
                <w:ilvl w:val="1"/>
                <w:numId w:val="3"/>
              </w:numPr>
            </w:pPr>
            <w:r>
              <w:t>Executive accountability</w:t>
            </w:r>
          </w:p>
          <w:p w14:paraId="268F15B9" w14:textId="77777777" w:rsidR="003538A0" w:rsidRDefault="003538A0" w:rsidP="003538A0"/>
          <w:p w14:paraId="5A412AAE" w14:textId="77777777" w:rsidR="003538A0" w:rsidRDefault="003538A0" w:rsidP="003538A0">
            <w:pPr>
              <w:pStyle w:val="ListParagraph"/>
              <w:numPr>
                <w:ilvl w:val="0"/>
                <w:numId w:val="13"/>
              </w:numPr>
            </w:pPr>
            <w:r>
              <w:t xml:space="preserve">The Manager Training and Development </w:t>
            </w:r>
            <w:r w:rsidR="003138BE">
              <w:t>has been appoint</w:t>
            </w:r>
            <w:r w:rsidR="0001302F">
              <w:t>ed as the champion of this Plan</w:t>
            </w:r>
          </w:p>
          <w:p w14:paraId="110F3233" w14:textId="77777777" w:rsidR="00D04B00" w:rsidRDefault="00D04B00" w:rsidP="00D63B43"/>
          <w:p w14:paraId="0F0591F7" w14:textId="77777777" w:rsidR="00D63B43" w:rsidRDefault="00D63B43" w:rsidP="00D63B43"/>
        </w:tc>
        <w:tc>
          <w:tcPr>
            <w:tcW w:w="2208" w:type="dxa"/>
          </w:tcPr>
          <w:p w14:paraId="63BD767D" w14:textId="77777777" w:rsidR="00BD5123" w:rsidRDefault="00BD5123"/>
          <w:p w14:paraId="7677775E" w14:textId="77777777" w:rsidR="003138BE" w:rsidRDefault="003138BE"/>
          <w:p w14:paraId="602B48CF" w14:textId="77777777" w:rsidR="003138BE" w:rsidRDefault="003138BE" w:rsidP="003138BE">
            <w:pPr>
              <w:pStyle w:val="ListParagraph"/>
              <w:numPr>
                <w:ilvl w:val="0"/>
                <w:numId w:val="13"/>
              </w:numPr>
            </w:pPr>
            <w:r>
              <w:t>CEO</w:t>
            </w:r>
          </w:p>
        </w:tc>
        <w:tc>
          <w:tcPr>
            <w:tcW w:w="2156" w:type="dxa"/>
          </w:tcPr>
          <w:p w14:paraId="77950A2F" w14:textId="77777777" w:rsidR="00BD5123" w:rsidRDefault="00BD5123"/>
          <w:p w14:paraId="2BB496E0" w14:textId="77777777" w:rsidR="003138BE" w:rsidRDefault="003138BE"/>
          <w:p w14:paraId="4A0CD522" w14:textId="77777777" w:rsidR="003138BE" w:rsidRDefault="00324051" w:rsidP="003138BE">
            <w:pPr>
              <w:pStyle w:val="ListParagraph"/>
              <w:numPr>
                <w:ilvl w:val="0"/>
                <w:numId w:val="13"/>
              </w:numPr>
            </w:pPr>
            <w:r>
              <w:t>July 2013</w:t>
            </w:r>
          </w:p>
        </w:tc>
        <w:tc>
          <w:tcPr>
            <w:tcW w:w="4568" w:type="dxa"/>
          </w:tcPr>
          <w:p w14:paraId="6959574F" w14:textId="77777777" w:rsidR="00BD5123" w:rsidRDefault="00BD5123"/>
          <w:p w14:paraId="2377695D" w14:textId="77777777" w:rsidR="003138BE" w:rsidRDefault="003138BE"/>
          <w:p w14:paraId="3711CB55" w14:textId="77777777" w:rsidR="003138BE" w:rsidRDefault="003138BE" w:rsidP="00D63B43">
            <w:pPr>
              <w:pStyle w:val="ListParagraph"/>
              <w:numPr>
                <w:ilvl w:val="0"/>
                <w:numId w:val="16"/>
              </w:numPr>
            </w:pPr>
            <w:r>
              <w:t>Appointment maintained or a suitable replacement established</w:t>
            </w:r>
          </w:p>
        </w:tc>
      </w:tr>
      <w:tr w:rsidR="00F8435D" w14:paraId="50297A16" w14:textId="77777777" w:rsidTr="00324051">
        <w:tc>
          <w:tcPr>
            <w:tcW w:w="5242" w:type="dxa"/>
          </w:tcPr>
          <w:p w14:paraId="15E83600" w14:textId="77777777" w:rsidR="00BD5123" w:rsidRDefault="00D04B00" w:rsidP="00D04B00">
            <w:pPr>
              <w:pStyle w:val="ListParagraph"/>
              <w:numPr>
                <w:ilvl w:val="1"/>
                <w:numId w:val="3"/>
              </w:numPr>
            </w:pPr>
            <w:r>
              <w:t>Agency commitment</w:t>
            </w:r>
          </w:p>
          <w:p w14:paraId="086C553A" w14:textId="77777777" w:rsidR="003138BE" w:rsidRDefault="003138BE" w:rsidP="003138BE"/>
          <w:p w14:paraId="3F0E4087" w14:textId="77777777" w:rsidR="00D04B00" w:rsidRDefault="00324051" w:rsidP="00324051">
            <w:pPr>
              <w:pStyle w:val="ListParagraph"/>
              <w:numPr>
                <w:ilvl w:val="0"/>
                <w:numId w:val="14"/>
              </w:numPr>
            </w:pPr>
            <w:r>
              <w:t>Implement, Communicate and monitor Agency Plan</w:t>
            </w:r>
          </w:p>
        </w:tc>
        <w:tc>
          <w:tcPr>
            <w:tcW w:w="2208" w:type="dxa"/>
          </w:tcPr>
          <w:p w14:paraId="20CE4633" w14:textId="77777777" w:rsidR="00BD5123" w:rsidRDefault="00BD5123"/>
          <w:p w14:paraId="2467CD20" w14:textId="77777777" w:rsidR="00E7171B" w:rsidRDefault="00E7171B"/>
          <w:p w14:paraId="3D34F9C0" w14:textId="77777777" w:rsidR="00E7171B" w:rsidRDefault="00E7171B" w:rsidP="00E7171B">
            <w:pPr>
              <w:pStyle w:val="ListParagraph"/>
              <w:numPr>
                <w:ilvl w:val="0"/>
                <w:numId w:val="14"/>
              </w:numPr>
            </w:pPr>
            <w:r>
              <w:t>Champion</w:t>
            </w:r>
          </w:p>
        </w:tc>
        <w:tc>
          <w:tcPr>
            <w:tcW w:w="2156" w:type="dxa"/>
          </w:tcPr>
          <w:p w14:paraId="345E0C46" w14:textId="77777777" w:rsidR="00BD5123" w:rsidRDefault="00BD5123"/>
          <w:p w14:paraId="1709A4E3" w14:textId="77777777" w:rsidR="00E7171B" w:rsidRDefault="00E7171B"/>
          <w:p w14:paraId="68074891" w14:textId="77777777" w:rsidR="00E7171B" w:rsidRDefault="00324051" w:rsidP="00324051">
            <w:pPr>
              <w:pStyle w:val="ListParagraph"/>
              <w:numPr>
                <w:ilvl w:val="0"/>
                <w:numId w:val="14"/>
              </w:numPr>
            </w:pPr>
            <w:r>
              <w:t>July 2013-15</w:t>
            </w:r>
          </w:p>
        </w:tc>
        <w:tc>
          <w:tcPr>
            <w:tcW w:w="4568" w:type="dxa"/>
          </w:tcPr>
          <w:p w14:paraId="7A77D40A" w14:textId="77777777" w:rsidR="00BD5123" w:rsidRDefault="00BD5123" w:rsidP="00E7171B">
            <w:pPr>
              <w:ind w:left="360"/>
            </w:pPr>
          </w:p>
          <w:p w14:paraId="620E7D04" w14:textId="77777777" w:rsidR="00E7171B" w:rsidRDefault="00E7171B" w:rsidP="00E7171B">
            <w:pPr>
              <w:ind w:left="360"/>
            </w:pPr>
          </w:p>
          <w:p w14:paraId="60DEE62E" w14:textId="77777777" w:rsidR="00324051" w:rsidRDefault="00324051" w:rsidP="00324051">
            <w:pPr>
              <w:pStyle w:val="ListParagraph"/>
              <w:numPr>
                <w:ilvl w:val="0"/>
                <w:numId w:val="16"/>
              </w:numPr>
            </w:pPr>
            <w:r>
              <w:t>Agency Plan to be communicated to all staff (e.g. formal induction processes)</w:t>
            </w:r>
          </w:p>
          <w:p w14:paraId="623169D8" w14:textId="77777777" w:rsidR="00324051" w:rsidRDefault="00324051" w:rsidP="00324051">
            <w:pPr>
              <w:pStyle w:val="ListParagraph"/>
              <w:numPr>
                <w:ilvl w:val="0"/>
                <w:numId w:val="16"/>
              </w:numPr>
            </w:pPr>
            <w:r>
              <w:t>Agency Plan to be readily accessible through internal Hub and Agency website</w:t>
            </w:r>
          </w:p>
          <w:p w14:paraId="1CB67C55" w14:textId="77777777" w:rsidR="00324051" w:rsidRDefault="00324051" w:rsidP="00324051">
            <w:pPr>
              <w:pStyle w:val="ListParagraph"/>
              <w:numPr>
                <w:ilvl w:val="0"/>
                <w:numId w:val="16"/>
              </w:numPr>
            </w:pPr>
            <w:r>
              <w:t>Agency Plan to be reviewed by the Professional Committee</w:t>
            </w:r>
          </w:p>
          <w:p w14:paraId="1FCC7BD5" w14:textId="77777777" w:rsidR="00324051" w:rsidRDefault="00324051" w:rsidP="00324051">
            <w:pPr>
              <w:pStyle w:val="ListParagraph"/>
              <w:numPr>
                <w:ilvl w:val="0"/>
                <w:numId w:val="16"/>
              </w:numPr>
            </w:pPr>
            <w:r>
              <w:t>Progress reports provided to the Commission</w:t>
            </w:r>
          </w:p>
          <w:p w14:paraId="02B761A4" w14:textId="77777777" w:rsidR="00F8435D" w:rsidRDefault="00F8435D" w:rsidP="00324051">
            <w:pPr>
              <w:pStyle w:val="ListParagraph"/>
            </w:pPr>
          </w:p>
        </w:tc>
      </w:tr>
      <w:tr w:rsidR="00F8435D" w14:paraId="15D3CE4F" w14:textId="77777777" w:rsidTr="00324051">
        <w:tc>
          <w:tcPr>
            <w:tcW w:w="5242" w:type="dxa"/>
          </w:tcPr>
          <w:p w14:paraId="623D8FF5" w14:textId="77777777" w:rsidR="00BD5123" w:rsidRDefault="00D04B00" w:rsidP="00D04B00">
            <w:pPr>
              <w:pStyle w:val="ListParagraph"/>
              <w:numPr>
                <w:ilvl w:val="1"/>
                <w:numId w:val="3"/>
              </w:numPr>
            </w:pPr>
            <w:r>
              <w:t>Other actions</w:t>
            </w:r>
          </w:p>
          <w:p w14:paraId="6EC8A569" w14:textId="77777777" w:rsidR="00F8435D" w:rsidRDefault="00F8435D" w:rsidP="00F8435D"/>
          <w:p w14:paraId="227E8D34" w14:textId="77777777" w:rsidR="00F8435D" w:rsidRDefault="00F8435D" w:rsidP="00F8435D">
            <w:pPr>
              <w:pStyle w:val="ListParagraph"/>
              <w:numPr>
                <w:ilvl w:val="0"/>
                <w:numId w:val="15"/>
              </w:numPr>
            </w:pPr>
            <w:r>
              <w:t>Foster a network</w:t>
            </w:r>
            <w:r w:rsidR="00815028">
              <w:t xml:space="preserve">/forum with other </w:t>
            </w:r>
            <w:r>
              <w:t>like agencies appointed champions</w:t>
            </w:r>
          </w:p>
          <w:p w14:paraId="6BFBD8A2" w14:textId="77777777" w:rsidR="00D04B00" w:rsidRDefault="00D04B00" w:rsidP="00D04B00"/>
          <w:p w14:paraId="37B2A967" w14:textId="77777777" w:rsidR="00D04B00" w:rsidRDefault="00D04B00" w:rsidP="00D04B00"/>
        </w:tc>
        <w:tc>
          <w:tcPr>
            <w:tcW w:w="2208" w:type="dxa"/>
          </w:tcPr>
          <w:p w14:paraId="5C199348" w14:textId="77777777" w:rsidR="00BD5123" w:rsidRDefault="00BD5123"/>
          <w:p w14:paraId="5C341A34" w14:textId="77777777" w:rsidR="00F8435D" w:rsidRDefault="00F8435D"/>
          <w:p w14:paraId="55DE300E" w14:textId="77777777" w:rsidR="00F8435D" w:rsidRDefault="00F8435D" w:rsidP="00F8435D">
            <w:pPr>
              <w:pStyle w:val="ListParagraph"/>
              <w:numPr>
                <w:ilvl w:val="0"/>
                <w:numId w:val="15"/>
              </w:numPr>
            </w:pPr>
            <w:r>
              <w:t>Champion</w:t>
            </w:r>
          </w:p>
        </w:tc>
        <w:tc>
          <w:tcPr>
            <w:tcW w:w="2156" w:type="dxa"/>
          </w:tcPr>
          <w:p w14:paraId="47E669E5" w14:textId="77777777" w:rsidR="00BD5123" w:rsidRDefault="00BD5123"/>
          <w:p w14:paraId="6D7943BD" w14:textId="77777777" w:rsidR="00F8435D" w:rsidRDefault="00F8435D"/>
          <w:p w14:paraId="6028A9C9" w14:textId="77777777" w:rsidR="00F8435D" w:rsidRDefault="00324051" w:rsidP="00F8435D">
            <w:pPr>
              <w:pStyle w:val="ListParagraph"/>
              <w:numPr>
                <w:ilvl w:val="0"/>
                <w:numId w:val="15"/>
              </w:numPr>
            </w:pPr>
            <w:r>
              <w:t>July 2013-15</w:t>
            </w:r>
          </w:p>
        </w:tc>
        <w:tc>
          <w:tcPr>
            <w:tcW w:w="4568" w:type="dxa"/>
          </w:tcPr>
          <w:p w14:paraId="1306753D" w14:textId="77777777" w:rsidR="00BD5123" w:rsidRDefault="00BD5123"/>
          <w:p w14:paraId="79CC6A3E" w14:textId="77777777" w:rsidR="00F8435D" w:rsidRDefault="00F8435D"/>
          <w:p w14:paraId="3214B87F" w14:textId="77777777" w:rsidR="00D63B43" w:rsidRDefault="00F8435D" w:rsidP="00D63B43">
            <w:pPr>
              <w:pStyle w:val="ListParagraph"/>
              <w:numPr>
                <w:ilvl w:val="0"/>
                <w:numId w:val="17"/>
              </w:numPr>
            </w:pPr>
            <w:r>
              <w:t>Contact list established</w:t>
            </w:r>
          </w:p>
          <w:p w14:paraId="5FF6B03C" w14:textId="77777777" w:rsidR="00D63B43" w:rsidRDefault="00F8435D" w:rsidP="00D63B43">
            <w:pPr>
              <w:pStyle w:val="ListParagraph"/>
              <w:numPr>
                <w:ilvl w:val="0"/>
                <w:numId w:val="17"/>
              </w:numPr>
            </w:pPr>
            <w:r>
              <w:t>Open channels of communication established (</w:t>
            </w:r>
            <w:proofErr w:type="spellStart"/>
            <w:r>
              <w:t>eg</w:t>
            </w:r>
            <w:proofErr w:type="spellEnd"/>
            <w:r>
              <w:t xml:space="preserve">, </w:t>
            </w:r>
            <w:proofErr w:type="spellStart"/>
            <w:r>
              <w:t>Govdex</w:t>
            </w:r>
            <w:proofErr w:type="spellEnd"/>
            <w: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</w:tbl>
    <w:p w14:paraId="799E5E60" w14:textId="77777777" w:rsidR="00D63B43" w:rsidRDefault="00D63B43">
      <w:pPr>
        <w:rPr>
          <w:b/>
          <w:u w:val="single"/>
        </w:rPr>
      </w:pPr>
      <w:r w:rsidRPr="00BC4809">
        <w:rPr>
          <w:b/>
          <w:u w:val="single"/>
        </w:rPr>
        <w:lastRenderedPageBreak/>
        <w:t>Agency Multicultural Plan - Core Obligations and Objectives (continued)</w:t>
      </w:r>
    </w:p>
    <w:p w14:paraId="4B97731F" w14:textId="77777777" w:rsidR="00AE3113" w:rsidRPr="00AE3113" w:rsidRDefault="00AE3113" w:rsidP="00AE3113">
      <w:pPr>
        <w:spacing w:after="0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9"/>
        <w:gridCol w:w="2803"/>
        <w:gridCol w:w="2221"/>
        <w:gridCol w:w="4171"/>
      </w:tblGrid>
      <w:tr w:rsidR="00D04B00" w14:paraId="34EB915D" w14:textId="77777777" w:rsidTr="00C12D51">
        <w:tc>
          <w:tcPr>
            <w:tcW w:w="14174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C285BFC" w14:textId="77777777" w:rsidR="00D04B00" w:rsidRPr="00194A2D" w:rsidRDefault="00D04B00" w:rsidP="00194A2D">
            <w:pPr>
              <w:pStyle w:val="ListParagraph"/>
              <w:numPr>
                <w:ilvl w:val="0"/>
                <w:numId w:val="12"/>
              </w:numPr>
              <w:ind w:left="284" w:hanging="284"/>
              <w:rPr>
                <w:b/>
              </w:rPr>
            </w:pPr>
            <w:r w:rsidRPr="00194A2D">
              <w:rPr>
                <w:b/>
              </w:rPr>
              <w:t>Engagement</w:t>
            </w:r>
            <w:r w:rsidR="00815028">
              <w:rPr>
                <w:b/>
              </w:rPr>
              <w:t xml:space="preserve"> – to ensure that our industry engagement strategies and program delivers key safety messages to</w:t>
            </w:r>
            <w:r w:rsidR="00D63B43">
              <w:rPr>
                <w:b/>
              </w:rPr>
              <w:t xml:space="preserve"> relevant</w:t>
            </w:r>
            <w:r w:rsidR="00815028">
              <w:rPr>
                <w:b/>
              </w:rPr>
              <w:t xml:space="preserve"> industry </w:t>
            </w:r>
            <w:r w:rsidR="00D63B43">
              <w:rPr>
                <w:b/>
              </w:rPr>
              <w:t xml:space="preserve">stakeholders </w:t>
            </w:r>
            <w:r w:rsidR="00815028">
              <w:rPr>
                <w:b/>
              </w:rPr>
              <w:t xml:space="preserve">(including </w:t>
            </w:r>
            <w:r w:rsidR="00C61057">
              <w:rPr>
                <w:b/>
              </w:rPr>
              <w:t>CALD</w:t>
            </w:r>
            <w:r w:rsidR="00815028">
              <w:rPr>
                <w:b/>
              </w:rPr>
              <w:t>)</w:t>
            </w:r>
            <w:r w:rsidR="00FA3F8E">
              <w:rPr>
                <w:b/>
              </w:rPr>
              <w:t xml:space="preserve"> through a targeted and coordinated approach.</w:t>
            </w:r>
            <w:r w:rsidR="00815028">
              <w:rPr>
                <w:b/>
              </w:rPr>
              <w:t xml:space="preserve"> </w:t>
            </w:r>
          </w:p>
          <w:p w14:paraId="035D7F5C" w14:textId="77777777" w:rsidR="00D04B00" w:rsidRPr="00194A2D" w:rsidRDefault="00D04B00" w:rsidP="00C12D51">
            <w:pPr>
              <w:rPr>
                <w:b/>
              </w:rPr>
            </w:pPr>
          </w:p>
        </w:tc>
      </w:tr>
      <w:tr w:rsidR="0001302F" w14:paraId="5D84E7BE" w14:textId="77777777" w:rsidTr="0001302F">
        <w:tc>
          <w:tcPr>
            <w:tcW w:w="5135" w:type="dxa"/>
            <w:shd w:val="pct10" w:color="auto" w:fill="auto"/>
          </w:tcPr>
          <w:p w14:paraId="4C346551" w14:textId="77777777" w:rsidR="00D04B00" w:rsidRPr="00194A2D" w:rsidRDefault="00D04B00" w:rsidP="00C12D51">
            <w:pPr>
              <w:rPr>
                <w:b/>
              </w:rPr>
            </w:pPr>
            <w:r w:rsidRPr="00194A2D">
              <w:rPr>
                <w:b/>
              </w:rPr>
              <w:t>Action</w:t>
            </w:r>
          </w:p>
          <w:p w14:paraId="111FA7AD" w14:textId="77777777" w:rsidR="00D04B00" w:rsidRPr="00194A2D" w:rsidRDefault="00D04B00" w:rsidP="00C12D51">
            <w:pPr>
              <w:rPr>
                <w:b/>
              </w:rPr>
            </w:pPr>
          </w:p>
        </w:tc>
        <w:tc>
          <w:tcPr>
            <w:tcW w:w="2803" w:type="dxa"/>
            <w:shd w:val="pct10" w:color="auto" w:fill="auto"/>
          </w:tcPr>
          <w:p w14:paraId="067043C2" w14:textId="77777777" w:rsidR="00D04B00" w:rsidRPr="00194A2D" w:rsidRDefault="00D04B00" w:rsidP="00C12D51">
            <w:pPr>
              <w:rPr>
                <w:b/>
              </w:rPr>
            </w:pPr>
            <w:r w:rsidRPr="00194A2D">
              <w:rPr>
                <w:b/>
              </w:rPr>
              <w:t>Responsibility</w:t>
            </w:r>
          </w:p>
        </w:tc>
        <w:tc>
          <w:tcPr>
            <w:tcW w:w="1951" w:type="dxa"/>
            <w:shd w:val="pct10" w:color="auto" w:fill="auto"/>
          </w:tcPr>
          <w:p w14:paraId="1BE42DE3" w14:textId="77777777" w:rsidR="00D04B00" w:rsidRPr="00194A2D" w:rsidRDefault="00D04B00" w:rsidP="00C12D51">
            <w:pPr>
              <w:rPr>
                <w:b/>
              </w:rPr>
            </w:pPr>
            <w:r w:rsidRPr="00194A2D">
              <w:rPr>
                <w:b/>
              </w:rPr>
              <w:t>Timeline</w:t>
            </w:r>
          </w:p>
        </w:tc>
        <w:tc>
          <w:tcPr>
            <w:tcW w:w="4285" w:type="dxa"/>
            <w:shd w:val="pct10" w:color="auto" w:fill="auto"/>
          </w:tcPr>
          <w:p w14:paraId="1BC13116" w14:textId="77777777" w:rsidR="00D04B00" w:rsidRPr="00194A2D" w:rsidRDefault="00E43EEA" w:rsidP="00C12D51">
            <w:pPr>
              <w:rPr>
                <w:b/>
              </w:rPr>
            </w:pPr>
            <w:r>
              <w:rPr>
                <w:b/>
              </w:rPr>
              <w:t>Targets</w:t>
            </w:r>
          </w:p>
        </w:tc>
      </w:tr>
      <w:tr w:rsidR="0001302F" w14:paraId="736F73B5" w14:textId="77777777" w:rsidTr="0001302F">
        <w:tc>
          <w:tcPr>
            <w:tcW w:w="5135" w:type="dxa"/>
          </w:tcPr>
          <w:p w14:paraId="4EBB3A31" w14:textId="77777777" w:rsidR="00D04B00" w:rsidRDefault="00D04B00" w:rsidP="00D04B00">
            <w:pPr>
              <w:pStyle w:val="ListParagraph"/>
              <w:numPr>
                <w:ilvl w:val="1"/>
                <w:numId w:val="4"/>
              </w:numPr>
            </w:pPr>
            <w:r>
              <w:t>Stakeholder engagement</w:t>
            </w:r>
          </w:p>
          <w:p w14:paraId="7FB43F4A" w14:textId="77777777" w:rsidR="00853BDE" w:rsidRDefault="00853BDE" w:rsidP="00853BDE"/>
          <w:p w14:paraId="40ED03C0" w14:textId="77777777" w:rsidR="00853BDE" w:rsidRDefault="00E967CE" w:rsidP="00853BDE">
            <w:pPr>
              <w:pStyle w:val="ListParagraph"/>
              <w:numPr>
                <w:ilvl w:val="0"/>
                <w:numId w:val="23"/>
              </w:numPr>
            </w:pPr>
            <w:r>
              <w:t xml:space="preserve">ATSB biennial external stakeholder survey to include </w:t>
            </w:r>
            <w:r w:rsidR="0001302F">
              <w:t>ability to collect ethnicity data</w:t>
            </w:r>
          </w:p>
          <w:p w14:paraId="5FB5BEFB" w14:textId="77777777" w:rsidR="0001302F" w:rsidRDefault="0001302F" w:rsidP="00853BDE">
            <w:pPr>
              <w:pStyle w:val="ListParagraph"/>
              <w:numPr>
                <w:ilvl w:val="0"/>
                <w:numId w:val="23"/>
              </w:numPr>
            </w:pPr>
            <w:r>
              <w:t>Continued delivery of our regional and international engagement program</w:t>
            </w:r>
          </w:p>
          <w:p w14:paraId="5A6C820B" w14:textId="77777777" w:rsidR="00D04B00" w:rsidRDefault="00D04B00" w:rsidP="00AE3113"/>
        </w:tc>
        <w:tc>
          <w:tcPr>
            <w:tcW w:w="2803" w:type="dxa"/>
          </w:tcPr>
          <w:p w14:paraId="0FC5B831" w14:textId="77777777" w:rsidR="00D04B00" w:rsidRDefault="00D04B00" w:rsidP="00C12D51"/>
          <w:p w14:paraId="2F37DB43" w14:textId="77777777" w:rsidR="0001302F" w:rsidRDefault="0001302F" w:rsidP="00C12D51"/>
          <w:p w14:paraId="0CE35A4E" w14:textId="77777777" w:rsidR="0001302F" w:rsidRDefault="0001302F" w:rsidP="0001302F">
            <w:pPr>
              <w:pStyle w:val="ListParagraph"/>
              <w:numPr>
                <w:ilvl w:val="0"/>
                <w:numId w:val="23"/>
              </w:numPr>
            </w:pPr>
            <w:r>
              <w:t>Communications</w:t>
            </w:r>
          </w:p>
          <w:p w14:paraId="090C2853" w14:textId="77777777" w:rsidR="0001302F" w:rsidRDefault="0001302F" w:rsidP="0001302F"/>
          <w:p w14:paraId="32739E4B" w14:textId="77777777" w:rsidR="0001302F" w:rsidRDefault="0001302F" w:rsidP="0001302F">
            <w:pPr>
              <w:pStyle w:val="ListParagraph"/>
              <w:numPr>
                <w:ilvl w:val="0"/>
                <w:numId w:val="23"/>
              </w:numPr>
            </w:pPr>
            <w:r>
              <w:t>Manager international</w:t>
            </w:r>
          </w:p>
        </w:tc>
        <w:tc>
          <w:tcPr>
            <w:tcW w:w="1951" w:type="dxa"/>
          </w:tcPr>
          <w:p w14:paraId="188C682F" w14:textId="77777777" w:rsidR="00D04B00" w:rsidRDefault="00D04B00" w:rsidP="00C12D51"/>
          <w:p w14:paraId="5D858ABF" w14:textId="77777777" w:rsidR="0001302F" w:rsidRDefault="0001302F" w:rsidP="00C12D51"/>
          <w:p w14:paraId="672899A6" w14:textId="77777777" w:rsidR="0001302F" w:rsidRDefault="0001302F" w:rsidP="0001302F">
            <w:pPr>
              <w:pStyle w:val="ListParagraph"/>
              <w:numPr>
                <w:ilvl w:val="0"/>
                <w:numId w:val="23"/>
              </w:numPr>
            </w:pPr>
            <w:r>
              <w:t>April 2015</w:t>
            </w:r>
          </w:p>
          <w:p w14:paraId="1B9B7476" w14:textId="77777777" w:rsidR="0001302F" w:rsidRDefault="0001302F" w:rsidP="0001302F"/>
          <w:p w14:paraId="35CF8FB6" w14:textId="77777777" w:rsidR="0001302F" w:rsidRDefault="00324051" w:rsidP="0001302F">
            <w:pPr>
              <w:pStyle w:val="ListParagraph"/>
              <w:numPr>
                <w:ilvl w:val="0"/>
                <w:numId w:val="23"/>
              </w:numPr>
            </w:pPr>
            <w:r>
              <w:t>July 2013-15</w:t>
            </w:r>
          </w:p>
        </w:tc>
        <w:tc>
          <w:tcPr>
            <w:tcW w:w="4285" w:type="dxa"/>
          </w:tcPr>
          <w:p w14:paraId="76C8FF79" w14:textId="77777777" w:rsidR="00D04B00" w:rsidRDefault="00D04B00" w:rsidP="00C12D51"/>
          <w:p w14:paraId="17FDB44E" w14:textId="77777777" w:rsidR="0001302F" w:rsidRDefault="0001302F" w:rsidP="00C12D51"/>
          <w:p w14:paraId="7AFAC4D0" w14:textId="77777777" w:rsidR="0001302F" w:rsidRDefault="0001302F" w:rsidP="00E43EEA">
            <w:pPr>
              <w:pStyle w:val="ListParagraph"/>
              <w:numPr>
                <w:ilvl w:val="0"/>
                <w:numId w:val="28"/>
              </w:numPr>
            </w:pPr>
            <w:r>
              <w:t>Incre</w:t>
            </w:r>
            <w:r w:rsidR="00324051">
              <w:t>ased capability to identify CALD</w:t>
            </w:r>
            <w:r>
              <w:t xml:space="preserve"> stakeholders</w:t>
            </w:r>
          </w:p>
          <w:p w14:paraId="015D4D69" w14:textId="77777777" w:rsidR="0001302F" w:rsidRDefault="0001302F" w:rsidP="00E43EEA">
            <w:pPr>
              <w:pStyle w:val="ListParagraph"/>
              <w:numPr>
                <w:ilvl w:val="0"/>
                <w:numId w:val="28"/>
              </w:numPr>
            </w:pPr>
            <w:r>
              <w:t>In accordance with relevant KPIs within the 2012-13 Annual Plan</w:t>
            </w:r>
          </w:p>
        </w:tc>
      </w:tr>
      <w:tr w:rsidR="0001302F" w14:paraId="1A1EFD70" w14:textId="77777777" w:rsidTr="0001302F">
        <w:tc>
          <w:tcPr>
            <w:tcW w:w="5135" w:type="dxa"/>
          </w:tcPr>
          <w:p w14:paraId="15B6DA4C" w14:textId="77777777" w:rsidR="00D04B00" w:rsidRDefault="00D04B00" w:rsidP="00D04B00">
            <w:pPr>
              <w:pStyle w:val="ListParagraph"/>
              <w:numPr>
                <w:ilvl w:val="1"/>
                <w:numId w:val="4"/>
              </w:numPr>
            </w:pPr>
            <w:r>
              <w:t>Language and communication</w:t>
            </w:r>
          </w:p>
          <w:p w14:paraId="22E15813" w14:textId="77777777" w:rsidR="0001302F" w:rsidRDefault="0001302F" w:rsidP="0001302F"/>
          <w:p w14:paraId="39FC88CD" w14:textId="77777777" w:rsidR="0001302F" w:rsidRDefault="00C576AE" w:rsidP="0001302F">
            <w:pPr>
              <w:pStyle w:val="ListParagraph"/>
              <w:numPr>
                <w:ilvl w:val="0"/>
                <w:numId w:val="26"/>
              </w:numPr>
            </w:pPr>
            <w:r>
              <w:t>Action recent internal audit recommendation - to develop a</w:t>
            </w:r>
            <w:r w:rsidR="006D4C39">
              <w:t>n overarching</w:t>
            </w:r>
            <w:r>
              <w:t xml:space="preserve"> stakeholder management plan</w:t>
            </w:r>
          </w:p>
          <w:p w14:paraId="2818E748" w14:textId="77777777" w:rsidR="006D4C39" w:rsidRDefault="006D4C39" w:rsidP="0001302F">
            <w:pPr>
              <w:pStyle w:val="ListParagraph"/>
              <w:numPr>
                <w:ilvl w:val="0"/>
                <w:numId w:val="26"/>
              </w:numPr>
            </w:pPr>
            <w:r>
              <w:t>Review current mechanisms designed to support the use of interpreters and translators</w:t>
            </w:r>
          </w:p>
          <w:p w14:paraId="5E6D8195" w14:textId="77777777" w:rsidR="00D04B00" w:rsidRDefault="00D04B00" w:rsidP="00C12D51"/>
          <w:p w14:paraId="2A111576" w14:textId="77777777" w:rsidR="00D04B00" w:rsidRDefault="00D04B00" w:rsidP="00C12D51"/>
        </w:tc>
        <w:tc>
          <w:tcPr>
            <w:tcW w:w="2803" w:type="dxa"/>
          </w:tcPr>
          <w:p w14:paraId="6C710BA8" w14:textId="77777777" w:rsidR="00D04B00" w:rsidRDefault="00D04B00" w:rsidP="00C12D51"/>
          <w:p w14:paraId="47D92A49" w14:textId="77777777" w:rsidR="006D4C39" w:rsidRDefault="006D4C39" w:rsidP="00C12D51"/>
          <w:p w14:paraId="71380EE7" w14:textId="77777777" w:rsidR="006D4C39" w:rsidRDefault="006D4C39" w:rsidP="006D4C39">
            <w:pPr>
              <w:pStyle w:val="ListParagraph"/>
              <w:numPr>
                <w:ilvl w:val="0"/>
                <w:numId w:val="26"/>
              </w:numPr>
            </w:pPr>
            <w:r>
              <w:t>Communications</w:t>
            </w:r>
            <w:r w:rsidR="006F1E9C">
              <w:t xml:space="preserve"> and Governance</w:t>
            </w:r>
            <w:r>
              <w:t xml:space="preserve"> </w:t>
            </w:r>
          </w:p>
        </w:tc>
        <w:tc>
          <w:tcPr>
            <w:tcW w:w="1951" w:type="dxa"/>
          </w:tcPr>
          <w:p w14:paraId="0EA0B2B3" w14:textId="77777777" w:rsidR="00D04B00" w:rsidRDefault="00D04B00" w:rsidP="00C12D51"/>
          <w:p w14:paraId="45F43D64" w14:textId="77777777" w:rsidR="006D4C39" w:rsidRDefault="006D4C39" w:rsidP="00C12D51"/>
          <w:p w14:paraId="45E4004B" w14:textId="77777777" w:rsidR="006D4C39" w:rsidRDefault="006D4C39" w:rsidP="006D4C39">
            <w:pPr>
              <w:pStyle w:val="ListParagraph"/>
              <w:numPr>
                <w:ilvl w:val="0"/>
                <w:numId w:val="26"/>
              </w:numPr>
            </w:pPr>
            <w:r>
              <w:t>July 2013</w:t>
            </w:r>
          </w:p>
          <w:p w14:paraId="56EC045A" w14:textId="77777777" w:rsidR="006D4C39" w:rsidRDefault="006D4C39" w:rsidP="006D4C39"/>
          <w:p w14:paraId="376FD8FF" w14:textId="77777777" w:rsidR="006D4C39" w:rsidRDefault="006D4C39" w:rsidP="006D4C39"/>
          <w:p w14:paraId="58E4827B" w14:textId="77777777" w:rsidR="006D4C39" w:rsidRDefault="00324051" w:rsidP="006D4C39">
            <w:pPr>
              <w:pStyle w:val="ListParagraph"/>
              <w:numPr>
                <w:ilvl w:val="0"/>
                <w:numId w:val="26"/>
              </w:numPr>
            </w:pPr>
            <w:r>
              <w:t>December 2013</w:t>
            </w:r>
          </w:p>
        </w:tc>
        <w:tc>
          <w:tcPr>
            <w:tcW w:w="4285" w:type="dxa"/>
          </w:tcPr>
          <w:p w14:paraId="516E8C56" w14:textId="77777777" w:rsidR="00D04B00" w:rsidRDefault="00D04B00" w:rsidP="00C12D51"/>
          <w:p w14:paraId="190AAF6A" w14:textId="77777777" w:rsidR="006D4C39" w:rsidRDefault="006D4C39" w:rsidP="00C12D51"/>
          <w:p w14:paraId="49F825C3" w14:textId="77777777" w:rsidR="006D4C39" w:rsidRDefault="006D4C39" w:rsidP="00E43EEA">
            <w:pPr>
              <w:pStyle w:val="ListParagraph"/>
              <w:numPr>
                <w:ilvl w:val="0"/>
                <w:numId w:val="29"/>
              </w:numPr>
            </w:pPr>
            <w:r>
              <w:t>New stakeholder management plan to include improved communicatio</w:t>
            </w:r>
            <w:r w:rsidR="00324051">
              <w:t>n strategies for identified CALD</w:t>
            </w:r>
            <w:r>
              <w:t xml:space="preserve"> stakeholders</w:t>
            </w:r>
          </w:p>
          <w:p w14:paraId="4FCD82C7" w14:textId="77777777" w:rsidR="006D4C39" w:rsidRDefault="006D4C39" w:rsidP="00E43EEA">
            <w:pPr>
              <w:pStyle w:val="ListParagraph"/>
              <w:numPr>
                <w:ilvl w:val="0"/>
                <w:numId w:val="29"/>
              </w:numPr>
            </w:pPr>
            <w:r>
              <w:t>ATSB registered with TIS National and the contact details readily available through our website</w:t>
            </w:r>
          </w:p>
        </w:tc>
      </w:tr>
      <w:tr w:rsidR="0001302F" w14:paraId="4A2C1331" w14:textId="77777777" w:rsidTr="0001302F">
        <w:tc>
          <w:tcPr>
            <w:tcW w:w="5135" w:type="dxa"/>
          </w:tcPr>
          <w:p w14:paraId="31ED6FCE" w14:textId="77777777" w:rsidR="00D04B00" w:rsidRDefault="00D04B00" w:rsidP="00D04B00">
            <w:pPr>
              <w:pStyle w:val="ListParagraph"/>
              <w:numPr>
                <w:ilvl w:val="1"/>
                <w:numId w:val="4"/>
              </w:numPr>
            </w:pPr>
            <w:r>
              <w:t>Other actions</w:t>
            </w:r>
          </w:p>
          <w:p w14:paraId="7CE6FB90" w14:textId="77777777" w:rsidR="006D4C39" w:rsidRDefault="006D4C39" w:rsidP="006D4C39"/>
          <w:p w14:paraId="444DB953" w14:textId="77777777" w:rsidR="00D04B00" w:rsidRDefault="00324051" w:rsidP="00324051">
            <w:pPr>
              <w:pStyle w:val="ListParagraph"/>
              <w:numPr>
                <w:ilvl w:val="0"/>
                <w:numId w:val="46"/>
              </w:numPr>
            </w:pPr>
            <w:r>
              <w:t>Identify CALD user requirements for accessing specific reporting schemes – achieved through future stakeholder engagement surveys</w:t>
            </w:r>
          </w:p>
          <w:p w14:paraId="74CB8249" w14:textId="77777777" w:rsidR="00D04B00" w:rsidRDefault="00D04B00" w:rsidP="00C12D51"/>
        </w:tc>
        <w:tc>
          <w:tcPr>
            <w:tcW w:w="2803" w:type="dxa"/>
          </w:tcPr>
          <w:p w14:paraId="3E522241" w14:textId="77777777" w:rsidR="00D04B00" w:rsidRDefault="00D04B00" w:rsidP="00C12D51"/>
          <w:p w14:paraId="6FF8FBA4" w14:textId="77777777" w:rsidR="00AE3113" w:rsidRDefault="00AE3113" w:rsidP="00C12D51"/>
          <w:p w14:paraId="3DDAAF3A" w14:textId="77777777" w:rsidR="00AE3113" w:rsidRDefault="00AE3113" w:rsidP="00AE3113">
            <w:pPr>
              <w:pStyle w:val="ListParagraph"/>
              <w:numPr>
                <w:ilvl w:val="0"/>
                <w:numId w:val="27"/>
              </w:numPr>
            </w:pPr>
            <w:r>
              <w:t>Communications</w:t>
            </w:r>
          </w:p>
        </w:tc>
        <w:tc>
          <w:tcPr>
            <w:tcW w:w="1951" w:type="dxa"/>
          </w:tcPr>
          <w:p w14:paraId="0981063C" w14:textId="77777777" w:rsidR="00D04B00" w:rsidRDefault="00D04B00" w:rsidP="00C12D51"/>
          <w:p w14:paraId="35D8EE2F" w14:textId="77777777" w:rsidR="00AE3113" w:rsidRDefault="00AE3113" w:rsidP="00C12D51"/>
          <w:p w14:paraId="5E36585D" w14:textId="77777777" w:rsidR="00AE3113" w:rsidRDefault="00AE3113" w:rsidP="00AE3113">
            <w:pPr>
              <w:pStyle w:val="ListParagraph"/>
              <w:numPr>
                <w:ilvl w:val="0"/>
                <w:numId w:val="27"/>
              </w:numPr>
            </w:pPr>
            <w:r>
              <w:t>December 2013</w:t>
            </w:r>
          </w:p>
        </w:tc>
        <w:tc>
          <w:tcPr>
            <w:tcW w:w="4285" w:type="dxa"/>
          </w:tcPr>
          <w:p w14:paraId="65E8D913" w14:textId="77777777" w:rsidR="00D04B00" w:rsidRDefault="00D04B00" w:rsidP="00C12D51"/>
          <w:p w14:paraId="30DCA052" w14:textId="77777777" w:rsidR="00AE3113" w:rsidRDefault="00AE3113" w:rsidP="00C12D51"/>
          <w:p w14:paraId="1AFF2B47" w14:textId="77777777" w:rsidR="00AE3113" w:rsidRDefault="00324051" w:rsidP="00E43EEA">
            <w:pPr>
              <w:pStyle w:val="ListParagraph"/>
              <w:numPr>
                <w:ilvl w:val="0"/>
                <w:numId w:val="30"/>
              </w:numPr>
            </w:pPr>
            <w:r>
              <w:t>Produce the REPCON Marine (voluntary and confidential reporting scheme) brochures in multiple languages</w:t>
            </w:r>
          </w:p>
        </w:tc>
      </w:tr>
    </w:tbl>
    <w:p w14:paraId="17E914D2" w14:textId="77777777" w:rsidR="00324051" w:rsidRDefault="00324051" w:rsidP="00F5658B">
      <w:pPr>
        <w:rPr>
          <w:b/>
          <w:u w:val="single"/>
        </w:rPr>
      </w:pPr>
    </w:p>
    <w:p w14:paraId="63D083D8" w14:textId="77777777" w:rsidR="00F5658B" w:rsidRPr="00BC4809" w:rsidRDefault="00F5658B" w:rsidP="00F5658B">
      <w:pPr>
        <w:rPr>
          <w:b/>
          <w:u w:val="single"/>
        </w:rPr>
      </w:pPr>
      <w:r w:rsidRPr="00BC4809">
        <w:rPr>
          <w:b/>
          <w:u w:val="single"/>
        </w:rPr>
        <w:lastRenderedPageBreak/>
        <w:t>Agency Multicultural Plan - Core Obligations and Objectives (continued)</w:t>
      </w:r>
    </w:p>
    <w:p w14:paraId="515EE137" w14:textId="77777777" w:rsidR="00D04B00" w:rsidRDefault="00D04B00" w:rsidP="0034273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3"/>
        <w:gridCol w:w="2803"/>
        <w:gridCol w:w="2047"/>
        <w:gridCol w:w="4401"/>
      </w:tblGrid>
      <w:tr w:rsidR="00D04B00" w14:paraId="2558E09B" w14:textId="77777777" w:rsidTr="00C12D51">
        <w:tc>
          <w:tcPr>
            <w:tcW w:w="14174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FF2DC76" w14:textId="77777777" w:rsidR="00D04B00" w:rsidRPr="00194A2D" w:rsidRDefault="00D04B00" w:rsidP="00194A2D">
            <w:pPr>
              <w:pStyle w:val="ListParagraph"/>
              <w:numPr>
                <w:ilvl w:val="0"/>
                <w:numId w:val="12"/>
              </w:numPr>
              <w:ind w:left="284" w:hanging="284"/>
              <w:rPr>
                <w:b/>
              </w:rPr>
            </w:pPr>
            <w:r w:rsidRPr="00194A2D">
              <w:rPr>
                <w:b/>
              </w:rPr>
              <w:t>Performance</w:t>
            </w:r>
            <w:r w:rsidR="00E43EEA">
              <w:rPr>
                <w:b/>
              </w:rPr>
              <w:t xml:space="preserve"> </w:t>
            </w:r>
            <w:r w:rsidR="004159D7">
              <w:rPr>
                <w:b/>
              </w:rPr>
              <w:t>–</w:t>
            </w:r>
            <w:r w:rsidR="00E43EEA">
              <w:rPr>
                <w:b/>
              </w:rPr>
              <w:t xml:space="preserve"> </w:t>
            </w:r>
            <w:r w:rsidR="004159D7">
              <w:rPr>
                <w:b/>
              </w:rPr>
              <w:t>establishing a set of key performance indicators (KPIs) that can be monitored, assessed and reported</w:t>
            </w:r>
            <w:r w:rsidR="00500B0F">
              <w:rPr>
                <w:b/>
              </w:rPr>
              <w:t>.</w:t>
            </w:r>
          </w:p>
          <w:p w14:paraId="630080C5" w14:textId="77777777" w:rsidR="00D04B00" w:rsidRPr="00194A2D" w:rsidRDefault="00D04B00" w:rsidP="00C12D51">
            <w:pPr>
              <w:rPr>
                <w:b/>
              </w:rPr>
            </w:pPr>
          </w:p>
        </w:tc>
      </w:tr>
      <w:tr w:rsidR="006F1E9C" w14:paraId="29595BE0" w14:textId="77777777" w:rsidTr="006F1E9C">
        <w:tc>
          <w:tcPr>
            <w:tcW w:w="4923" w:type="dxa"/>
            <w:shd w:val="pct10" w:color="auto" w:fill="auto"/>
          </w:tcPr>
          <w:p w14:paraId="5DAD6862" w14:textId="77777777" w:rsidR="00D04B00" w:rsidRPr="00194A2D" w:rsidRDefault="00D04B00" w:rsidP="00C12D51">
            <w:pPr>
              <w:rPr>
                <w:b/>
              </w:rPr>
            </w:pPr>
            <w:r w:rsidRPr="00194A2D">
              <w:rPr>
                <w:b/>
              </w:rPr>
              <w:t>Action</w:t>
            </w:r>
          </w:p>
          <w:p w14:paraId="608A5BC7" w14:textId="77777777" w:rsidR="00D04B00" w:rsidRPr="00194A2D" w:rsidRDefault="00D04B00" w:rsidP="00C12D51">
            <w:pPr>
              <w:rPr>
                <w:b/>
              </w:rPr>
            </w:pPr>
          </w:p>
        </w:tc>
        <w:tc>
          <w:tcPr>
            <w:tcW w:w="2803" w:type="dxa"/>
            <w:shd w:val="pct10" w:color="auto" w:fill="auto"/>
          </w:tcPr>
          <w:p w14:paraId="36EFDBE0" w14:textId="77777777" w:rsidR="00D04B00" w:rsidRPr="00194A2D" w:rsidRDefault="00D04B00" w:rsidP="00C12D51">
            <w:pPr>
              <w:rPr>
                <w:b/>
              </w:rPr>
            </w:pPr>
            <w:r w:rsidRPr="00194A2D">
              <w:rPr>
                <w:b/>
              </w:rPr>
              <w:t>Responsibility</w:t>
            </w:r>
          </w:p>
        </w:tc>
        <w:tc>
          <w:tcPr>
            <w:tcW w:w="2047" w:type="dxa"/>
            <w:shd w:val="pct10" w:color="auto" w:fill="auto"/>
          </w:tcPr>
          <w:p w14:paraId="2AD30082" w14:textId="77777777" w:rsidR="00D04B00" w:rsidRPr="00194A2D" w:rsidRDefault="00D04B00" w:rsidP="00C12D51">
            <w:pPr>
              <w:rPr>
                <w:b/>
              </w:rPr>
            </w:pPr>
            <w:r w:rsidRPr="00194A2D">
              <w:rPr>
                <w:b/>
              </w:rPr>
              <w:t>Timeline</w:t>
            </w:r>
          </w:p>
        </w:tc>
        <w:tc>
          <w:tcPr>
            <w:tcW w:w="4401" w:type="dxa"/>
            <w:shd w:val="pct10" w:color="auto" w:fill="auto"/>
          </w:tcPr>
          <w:p w14:paraId="7BC756C9" w14:textId="77777777" w:rsidR="00D04B00" w:rsidRPr="00194A2D" w:rsidRDefault="00E43EEA" w:rsidP="00C12D51">
            <w:pPr>
              <w:rPr>
                <w:b/>
              </w:rPr>
            </w:pPr>
            <w:r>
              <w:rPr>
                <w:b/>
              </w:rPr>
              <w:t>Targets</w:t>
            </w:r>
          </w:p>
        </w:tc>
      </w:tr>
      <w:tr w:rsidR="006F1E9C" w14:paraId="6C9036A0" w14:textId="77777777" w:rsidTr="006F1E9C">
        <w:tc>
          <w:tcPr>
            <w:tcW w:w="4923" w:type="dxa"/>
          </w:tcPr>
          <w:p w14:paraId="642667C8" w14:textId="77777777" w:rsidR="00D04B00" w:rsidRDefault="00D04B00" w:rsidP="00D04B00">
            <w:pPr>
              <w:pStyle w:val="ListParagraph"/>
              <w:numPr>
                <w:ilvl w:val="1"/>
                <w:numId w:val="5"/>
              </w:numPr>
            </w:pPr>
            <w:r>
              <w:t>Performance indicators and reporting</w:t>
            </w:r>
          </w:p>
          <w:p w14:paraId="30684178" w14:textId="77777777" w:rsidR="00E43EEA" w:rsidRDefault="00E43EEA" w:rsidP="00E43EEA"/>
          <w:p w14:paraId="2AA45BF5" w14:textId="77777777" w:rsidR="00E43EEA" w:rsidRDefault="004159D7" w:rsidP="00E43EEA">
            <w:pPr>
              <w:pStyle w:val="ListParagraph"/>
              <w:numPr>
                <w:ilvl w:val="0"/>
                <w:numId w:val="31"/>
              </w:numPr>
            </w:pPr>
            <w:r>
              <w:t xml:space="preserve">For this inaugural Plan the prescribed Targets will serve </w:t>
            </w:r>
            <w:r w:rsidR="00D51108">
              <w:t xml:space="preserve">(in most part) </w:t>
            </w:r>
            <w:r>
              <w:t>as the initial KPIs</w:t>
            </w:r>
          </w:p>
          <w:p w14:paraId="7E6884CA" w14:textId="77777777" w:rsidR="004159D7" w:rsidRDefault="004159D7" w:rsidP="00E43EEA">
            <w:pPr>
              <w:pStyle w:val="ListParagraph"/>
              <w:numPr>
                <w:ilvl w:val="0"/>
                <w:numId w:val="31"/>
              </w:numPr>
            </w:pPr>
            <w:r>
              <w:t>Once this Plan has been embedded, set KPIs will then be established</w:t>
            </w:r>
            <w:r w:rsidR="00342737">
              <w:t xml:space="preserve"> in readiness for future</w:t>
            </w:r>
            <w:r w:rsidR="00D51108">
              <w:t xml:space="preserve"> plans</w:t>
            </w:r>
          </w:p>
          <w:p w14:paraId="0ABB41D5" w14:textId="77777777" w:rsidR="00D04B00" w:rsidRDefault="00D04B00" w:rsidP="00C12D51">
            <w:pPr>
              <w:pStyle w:val="ListParagraph"/>
              <w:ind w:left="360"/>
            </w:pPr>
          </w:p>
          <w:p w14:paraId="4CD93303" w14:textId="77777777" w:rsidR="00D04B00" w:rsidRDefault="00D04B00" w:rsidP="00C12D51">
            <w:pPr>
              <w:pStyle w:val="ListParagraph"/>
              <w:ind w:left="360"/>
            </w:pPr>
          </w:p>
        </w:tc>
        <w:tc>
          <w:tcPr>
            <w:tcW w:w="2803" w:type="dxa"/>
          </w:tcPr>
          <w:p w14:paraId="4386E17E" w14:textId="77777777" w:rsidR="00D04B00" w:rsidRDefault="00D04B00" w:rsidP="00C12D51"/>
          <w:p w14:paraId="28856BBA" w14:textId="77777777" w:rsidR="004159D7" w:rsidRDefault="004159D7" w:rsidP="00C12D51"/>
          <w:p w14:paraId="218286F4" w14:textId="77777777" w:rsidR="004159D7" w:rsidRDefault="004159D7" w:rsidP="004159D7">
            <w:pPr>
              <w:pStyle w:val="ListParagraph"/>
              <w:numPr>
                <w:ilvl w:val="0"/>
                <w:numId w:val="31"/>
              </w:numPr>
            </w:pPr>
            <w:r>
              <w:t>Champion</w:t>
            </w:r>
          </w:p>
        </w:tc>
        <w:tc>
          <w:tcPr>
            <w:tcW w:w="2047" w:type="dxa"/>
          </w:tcPr>
          <w:p w14:paraId="278003F3" w14:textId="77777777" w:rsidR="00D04B00" w:rsidRDefault="00D04B00" w:rsidP="00C12D51"/>
          <w:p w14:paraId="75245BCA" w14:textId="77777777" w:rsidR="004159D7" w:rsidRDefault="004159D7" w:rsidP="00C12D51"/>
          <w:p w14:paraId="0EE23E69" w14:textId="77777777" w:rsidR="004159D7" w:rsidRDefault="00324051" w:rsidP="004159D7">
            <w:pPr>
              <w:pStyle w:val="ListParagraph"/>
              <w:numPr>
                <w:ilvl w:val="0"/>
                <w:numId w:val="31"/>
              </w:numPr>
            </w:pPr>
            <w:r>
              <w:t>July 2013</w:t>
            </w:r>
          </w:p>
          <w:p w14:paraId="1880F686" w14:textId="77777777" w:rsidR="004159D7" w:rsidRDefault="004159D7" w:rsidP="004159D7"/>
          <w:p w14:paraId="267E24E2" w14:textId="77777777" w:rsidR="004159D7" w:rsidRDefault="004159D7" w:rsidP="004159D7">
            <w:pPr>
              <w:pStyle w:val="ListParagraph"/>
              <w:numPr>
                <w:ilvl w:val="0"/>
                <w:numId w:val="31"/>
              </w:numPr>
            </w:pPr>
            <w:r>
              <w:t>Before July 2015</w:t>
            </w:r>
          </w:p>
        </w:tc>
        <w:tc>
          <w:tcPr>
            <w:tcW w:w="4401" w:type="dxa"/>
          </w:tcPr>
          <w:p w14:paraId="5059C067" w14:textId="77777777" w:rsidR="00D04B00" w:rsidRDefault="00D04B00" w:rsidP="00C12D51"/>
          <w:p w14:paraId="1E370224" w14:textId="77777777" w:rsidR="004159D7" w:rsidRDefault="004159D7" w:rsidP="00C12D51"/>
          <w:p w14:paraId="3F59E6EF" w14:textId="77777777" w:rsidR="004159D7" w:rsidRDefault="00D51108" w:rsidP="00AD5D70">
            <w:pPr>
              <w:pStyle w:val="ListParagraph"/>
              <w:numPr>
                <w:ilvl w:val="0"/>
                <w:numId w:val="30"/>
              </w:numPr>
            </w:pPr>
            <w:r>
              <w:t>Progress towards relevant</w:t>
            </w:r>
            <w:r w:rsidR="004159D7">
              <w:t xml:space="preserve"> targets will be reported on a quarterly basis to the </w:t>
            </w:r>
            <w:r>
              <w:t>Commission and consolidated through the annual report</w:t>
            </w:r>
          </w:p>
          <w:p w14:paraId="76FD4014" w14:textId="77777777" w:rsidR="00D51108" w:rsidRDefault="00D51108" w:rsidP="00D51108">
            <w:pPr>
              <w:pStyle w:val="ListParagraph"/>
            </w:pPr>
          </w:p>
        </w:tc>
      </w:tr>
      <w:tr w:rsidR="006F1E9C" w14:paraId="32BB80A7" w14:textId="77777777" w:rsidTr="006F1E9C">
        <w:tc>
          <w:tcPr>
            <w:tcW w:w="4923" w:type="dxa"/>
          </w:tcPr>
          <w:p w14:paraId="738C7F99" w14:textId="77777777" w:rsidR="00D04B00" w:rsidRDefault="00D04B00" w:rsidP="00D04B00">
            <w:pPr>
              <w:pStyle w:val="ListParagraph"/>
              <w:numPr>
                <w:ilvl w:val="1"/>
                <w:numId w:val="5"/>
              </w:numPr>
            </w:pPr>
            <w:r>
              <w:t>Feedback</w:t>
            </w:r>
          </w:p>
          <w:p w14:paraId="70080AF0" w14:textId="77777777" w:rsidR="00D51108" w:rsidRDefault="00D51108" w:rsidP="00D51108"/>
          <w:p w14:paraId="7F988ADA" w14:textId="77777777" w:rsidR="00D51108" w:rsidRDefault="00E71E5B" w:rsidP="00D51108">
            <w:pPr>
              <w:pStyle w:val="ListParagraph"/>
              <w:numPr>
                <w:ilvl w:val="0"/>
                <w:numId w:val="32"/>
              </w:numPr>
            </w:pPr>
            <w:r>
              <w:t xml:space="preserve">All future stakeholder engagement survey reports to include </w:t>
            </w:r>
            <w:r w:rsidR="00342737">
              <w:t>findings and recommendations regarding</w:t>
            </w:r>
            <w:r w:rsidR="00324051">
              <w:t xml:space="preserve"> CALD</w:t>
            </w:r>
            <w:r>
              <w:t xml:space="preserve"> participants</w:t>
            </w:r>
          </w:p>
          <w:p w14:paraId="1A13BC2B" w14:textId="77777777" w:rsidR="00E71E5B" w:rsidRDefault="00E71E5B" w:rsidP="00D51108">
            <w:pPr>
              <w:pStyle w:val="ListParagraph"/>
              <w:numPr>
                <w:ilvl w:val="0"/>
                <w:numId w:val="32"/>
              </w:numPr>
            </w:pPr>
            <w:r>
              <w:t>Review internal industry engagement feedback forms</w:t>
            </w:r>
          </w:p>
          <w:p w14:paraId="0226718D" w14:textId="77777777" w:rsidR="00E71E5B" w:rsidRDefault="00E71E5B" w:rsidP="00D51108">
            <w:pPr>
              <w:pStyle w:val="ListParagraph"/>
              <w:numPr>
                <w:ilvl w:val="0"/>
                <w:numId w:val="32"/>
              </w:numPr>
            </w:pPr>
            <w:r>
              <w:t xml:space="preserve">Review existing web based </w:t>
            </w:r>
            <w:r w:rsidR="006F1E9C">
              <w:t>feedback mechanism</w:t>
            </w:r>
            <w:r w:rsidR="00342737">
              <w:t>s</w:t>
            </w:r>
            <w:r w:rsidR="006F1E9C">
              <w:t>/platform</w:t>
            </w:r>
            <w:r w:rsidR="00342737">
              <w:t>s</w:t>
            </w:r>
            <w:r>
              <w:t xml:space="preserve"> </w:t>
            </w:r>
          </w:p>
          <w:p w14:paraId="17DEDCFB" w14:textId="77777777" w:rsidR="00D04B00" w:rsidRDefault="00D04B00" w:rsidP="00C12D51"/>
          <w:p w14:paraId="5BD049D9" w14:textId="77777777" w:rsidR="00D04B00" w:rsidRDefault="00D04B00" w:rsidP="00C12D51"/>
        </w:tc>
        <w:tc>
          <w:tcPr>
            <w:tcW w:w="2803" w:type="dxa"/>
          </w:tcPr>
          <w:p w14:paraId="60ADF14E" w14:textId="77777777" w:rsidR="00D04B00" w:rsidRDefault="00D04B00" w:rsidP="00C12D51"/>
          <w:p w14:paraId="0C0F379F" w14:textId="77777777" w:rsidR="00E71E5B" w:rsidRDefault="00E71E5B" w:rsidP="00C12D51"/>
          <w:p w14:paraId="3ED59306" w14:textId="77777777" w:rsidR="00E71E5B" w:rsidRDefault="00E71E5B" w:rsidP="00E71E5B">
            <w:pPr>
              <w:pStyle w:val="ListParagraph"/>
              <w:numPr>
                <w:ilvl w:val="0"/>
                <w:numId w:val="32"/>
              </w:numPr>
            </w:pPr>
            <w:r>
              <w:t>Communications</w:t>
            </w:r>
          </w:p>
        </w:tc>
        <w:tc>
          <w:tcPr>
            <w:tcW w:w="2047" w:type="dxa"/>
          </w:tcPr>
          <w:p w14:paraId="227612DD" w14:textId="77777777" w:rsidR="00D04B00" w:rsidRDefault="00D04B00" w:rsidP="00C12D51"/>
          <w:p w14:paraId="26BE7F47" w14:textId="77777777" w:rsidR="00E71E5B" w:rsidRDefault="00E71E5B" w:rsidP="00C12D51"/>
          <w:p w14:paraId="75259C35" w14:textId="77777777" w:rsidR="00E71E5B" w:rsidRDefault="00E71E5B" w:rsidP="00E71E5B">
            <w:pPr>
              <w:pStyle w:val="ListParagraph"/>
              <w:numPr>
                <w:ilvl w:val="0"/>
                <w:numId w:val="32"/>
              </w:numPr>
            </w:pPr>
            <w:r>
              <w:t>Before July 2015</w:t>
            </w:r>
          </w:p>
          <w:p w14:paraId="3EE6A027" w14:textId="77777777" w:rsidR="00E71E5B" w:rsidRDefault="00E71E5B" w:rsidP="00E71E5B"/>
          <w:p w14:paraId="309ADE99" w14:textId="77777777" w:rsidR="00E71E5B" w:rsidRDefault="00324051" w:rsidP="00E71E5B">
            <w:pPr>
              <w:pStyle w:val="ListParagraph"/>
              <w:numPr>
                <w:ilvl w:val="0"/>
                <w:numId w:val="32"/>
              </w:numPr>
            </w:pPr>
            <w:r>
              <w:t>July 2014</w:t>
            </w:r>
          </w:p>
        </w:tc>
        <w:tc>
          <w:tcPr>
            <w:tcW w:w="4401" w:type="dxa"/>
          </w:tcPr>
          <w:p w14:paraId="405A52AC" w14:textId="77777777" w:rsidR="00D04B00" w:rsidRDefault="00D04B00" w:rsidP="00C12D51"/>
          <w:p w14:paraId="64226813" w14:textId="77777777" w:rsidR="00E71E5B" w:rsidRDefault="00E71E5B" w:rsidP="00C12D51"/>
          <w:p w14:paraId="16FF87B5" w14:textId="77777777" w:rsidR="00E71E5B" w:rsidRDefault="00E71E5B" w:rsidP="00E71E5B">
            <w:pPr>
              <w:pStyle w:val="ListParagraph"/>
              <w:numPr>
                <w:ilvl w:val="0"/>
                <w:numId w:val="30"/>
              </w:numPr>
            </w:pPr>
            <w:r>
              <w:t xml:space="preserve">The 2015 </w:t>
            </w:r>
            <w:r w:rsidR="006F1E9C">
              <w:t>stakeholder engagement survey report to include findings and r</w:t>
            </w:r>
            <w:r w:rsidR="00324051">
              <w:t>ecommendations derived from CALD</w:t>
            </w:r>
            <w:r w:rsidR="006F1E9C">
              <w:t xml:space="preserve"> participant feedback</w:t>
            </w:r>
          </w:p>
          <w:p w14:paraId="6405E652" w14:textId="77777777" w:rsidR="006F1E9C" w:rsidRDefault="00324051" w:rsidP="00E71E5B">
            <w:pPr>
              <w:pStyle w:val="ListParagraph"/>
              <w:numPr>
                <w:ilvl w:val="0"/>
                <w:numId w:val="30"/>
              </w:numPr>
            </w:pPr>
            <w:r>
              <w:t>Increased CALD</w:t>
            </w:r>
            <w:r w:rsidR="006F1E9C">
              <w:t xml:space="preserve"> related data generated through internal industry engagement feedback forms</w:t>
            </w:r>
          </w:p>
          <w:p w14:paraId="5161C123" w14:textId="77777777" w:rsidR="006F1E9C" w:rsidRDefault="006F1E9C" w:rsidP="00E71E5B">
            <w:pPr>
              <w:pStyle w:val="ListParagraph"/>
              <w:numPr>
                <w:ilvl w:val="0"/>
                <w:numId w:val="30"/>
              </w:numPr>
            </w:pPr>
            <w:r>
              <w:t>Existing web based feedback mechanism</w:t>
            </w:r>
            <w:r w:rsidR="00342737">
              <w:t>s</w:t>
            </w:r>
            <w:r>
              <w:t>/platform</w:t>
            </w:r>
            <w:r w:rsidR="00342737">
              <w:t>s upgraded for increased</w:t>
            </w:r>
            <w:r w:rsidR="00324051">
              <w:t xml:space="preserve"> usability by CALD</w:t>
            </w:r>
            <w:r>
              <w:t xml:space="preserve"> stakeholders/clients</w:t>
            </w:r>
          </w:p>
          <w:p w14:paraId="2E3B4464" w14:textId="77777777" w:rsidR="006F1E9C" w:rsidRDefault="006F1E9C" w:rsidP="006F1E9C">
            <w:pPr>
              <w:pStyle w:val="ListParagraph"/>
            </w:pPr>
          </w:p>
        </w:tc>
      </w:tr>
    </w:tbl>
    <w:p w14:paraId="5E4355B7" w14:textId="77777777" w:rsidR="00F5658B" w:rsidRDefault="00F5658B"/>
    <w:p w14:paraId="583C3F85" w14:textId="77777777" w:rsidR="00F5658B" w:rsidRPr="00BC4809" w:rsidRDefault="00F5658B" w:rsidP="00F5658B">
      <w:pPr>
        <w:rPr>
          <w:b/>
          <w:u w:val="single"/>
        </w:rPr>
      </w:pPr>
      <w:r w:rsidRPr="00BC4809">
        <w:rPr>
          <w:b/>
          <w:u w:val="single"/>
        </w:rPr>
        <w:lastRenderedPageBreak/>
        <w:t>Agency Multicultural Plan - Core Obligations and Objectives (continued)</w:t>
      </w:r>
    </w:p>
    <w:p w14:paraId="1A5DBCB1" w14:textId="77777777" w:rsidR="00F5658B" w:rsidRDefault="00F5658B" w:rsidP="00342737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34"/>
        <w:gridCol w:w="2571"/>
        <w:gridCol w:w="2126"/>
        <w:gridCol w:w="4143"/>
      </w:tblGrid>
      <w:tr w:rsidR="00D04B00" w14:paraId="7D7222D3" w14:textId="77777777" w:rsidTr="00500B0F">
        <w:tc>
          <w:tcPr>
            <w:tcW w:w="14174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91C90F2" w14:textId="77777777" w:rsidR="00D04B00" w:rsidRPr="00194A2D" w:rsidRDefault="00D04B00" w:rsidP="00194A2D">
            <w:pPr>
              <w:pStyle w:val="ListParagraph"/>
              <w:numPr>
                <w:ilvl w:val="0"/>
                <w:numId w:val="12"/>
              </w:numPr>
              <w:ind w:left="284" w:hanging="284"/>
              <w:rPr>
                <w:b/>
              </w:rPr>
            </w:pPr>
            <w:r w:rsidRPr="00194A2D">
              <w:rPr>
                <w:b/>
              </w:rPr>
              <w:t>Capability</w:t>
            </w:r>
            <w:r w:rsidR="006F1E9C">
              <w:rPr>
                <w:b/>
              </w:rPr>
              <w:t xml:space="preserve"> –</w:t>
            </w:r>
            <w:r w:rsidR="00AD5D70">
              <w:rPr>
                <w:b/>
              </w:rPr>
              <w:t xml:space="preserve"> gaining a greater appreciation of our CA</w:t>
            </w:r>
            <w:r w:rsidR="00C61057">
              <w:rPr>
                <w:b/>
              </w:rPr>
              <w:t>LD</w:t>
            </w:r>
            <w:r w:rsidR="00500B0F">
              <w:rPr>
                <w:b/>
              </w:rPr>
              <w:t xml:space="preserve"> stakeholders and ensuring</w:t>
            </w:r>
            <w:r w:rsidR="00AD5D70">
              <w:rPr>
                <w:b/>
              </w:rPr>
              <w:t xml:space="preserve"> staff are well equipped with appropriate cultural competency skills</w:t>
            </w:r>
            <w:r w:rsidR="00500B0F">
              <w:rPr>
                <w:b/>
              </w:rPr>
              <w:t>.</w:t>
            </w:r>
          </w:p>
          <w:p w14:paraId="77F141B1" w14:textId="77777777" w:rsidR="00D04B00" w:rsidRPr="00194A2D" w:rsidRDefault="00D04B00" w:rsidP="00C12D51">
            <w:pPr>
              <w:rPr>
                <w:b/>
              </w:rPr>
            </w:pPr>
          </w:p>
        </w:tc>
      </w:tr>
      <w:tr w:rsidR="00AD5D70" w14:paraId="2A88EBA3" w14:textId="77777777" w:rsidTr="00AC3382">
        <w:tc>
          <w:tcPr>
            <w:tcW w:w="5334" w:type="dxa"/>
            <w:shd w:val="pct10" w:color="auto" w:fill="auto"/>
          </w:tcPr>
          <w:p w14:paraId="1EAEFEDA" w14:textId="77777777" w:rsidR="00D04B00" w:rsidRPr="00194A2D" w:rsidRDefault="00D04B00" w:rsidP="00C12D51">
            <w:pPr>
              <w:rPr>
                <w:b/>
              </w:rPr>
            </w:pPr>
            <w:r w:rsidRPr="00194A2D">
              <w:rPr>
                <w:b/>
              </w:rPr>
              <w:t>Action</w:t>
            </w:r>
          </w:p>
          <w:p w14:paraId="3A73B0F6" w14:textId="77777777" w:rsidR="00D04B00" w:rsidRPr="00194A2D" w:rsidRDefault="00D04B00" w:rsidP="00C12D51">
            <w:pPr>
              <w:rPr>
                <w:b/>
              </w:rPr>
            </w:pPr>
          </w:p>
        </w:tc>
        <w:tc>
          <w:tcPr>
            <w:tcW w:w="2571" w:type="dxa"/>
            <w:shd w:val="pct10" w:color="auto" w:fill="auto"/>
          </w:tcPr>
          <w:p w14:paraId="035896F3" w14:textId="77777777" w:rsidR="00D04B00" w:rsidRPr="00194A2D" w:rsidRDefault="00D04B00" w:rsidP="00C12D51">
            <w:pPr>
              <w:rPr>
                <w:b/>
              </w:rPr>
            </w:pPr>
            <w:r w:rsidRPr="00194A2D">
              <w:rPr>
                <w:b/>
              </w:rPr>
              <w:t>Responsibility</w:t>
            </w:r>
          </w:p>
        </w:tc>
        <w:tc>
          <w:tcPr>
            <w:tcW w:w="2126" w:type="dxa"/>
            <w:shd w:val="pct10" w:color="auto" w:fill="auto"/>
          </w:tcPr>
          <w:p w14:paraId="78A3A9FC" w14:textId="77777777" w:rsidR="00D04B00" w:rsidRPr="00194A2D" w:rsidRDefault="00D04B00" w:rsidP="00C12D51">
            <w:pPr>
              <w:rPr>
                <w:b/>
              </w:rPr>
            </w:pPr>
            <w:r w:rsidRPr="00194A2D">
              <w:rPr>
                <w:b/>
              </w:rPr>
              <w:t>Timeline</w:t>
            </w:r>
          </w:p>
        </w:tc>
        <w:tc>
          <w:tcPr>
            <w:tcW w:w="4143" w:type="dxa"/>
            <w:shd w:val="pct10" w:color="auto" w:fill="auto"/>
          </w:tcPr>
          <w:p w14:paraId="39BD3437" w14:textId="77777777" w:rsidR="00D04B00" w:rsidRPr="00194A2D" w:rsidRDefault="00E318F9" w:rsidP="00C12D51">
            <w:pPr>
              <w:rPr>
                <w:b/>
              </w:rPr>
            </w:pPr>
            <w:r>
              <w:rPr>
                <w:b/>
              </w:rPr>
              <w:t>Targets</w:t>
            </w:r>
          </w:p>
        </w:tc>
      </w:tr>
      <w:tr w:rsidR="00AD5D70" w14:paraId="6EBD0A67" w14:textId="77777777" w:rsidTr="00AC3382">
        <w:tc>
          <w:tcPr>
            <w:tcW w:w="5334" w:type="dxa"/>
          </w:tcPr>
          <w:p w14:paraId="61C494E5" w14:textId="77777777" w:rsidR="00D04B00" w:rsidRDefault="00D04B00" w:rsidP="00D04B00">
            <w:pPr>
              <w:pStyle w:val="ListParagraph"/>
              <w:numPr>
                <w:ilvl w:val="1"/>
                <w:numId w:val="6"/>
              </w:numPr>
            </w:pPr>
            <w:r>
              <w:t>Cultural competency</w:t>
            </w:r>
          </w:p>
          <w:p w14:paraId="4D90F65F" w14:textId="77777777" w:rsidR="00AD5D70" w:rsidRDefault="00AD5D70" w:rsidP="00AD5D70"/>
          <w:p w14:paraId="4D488AE7" w14:textId="77777777" w:rsidR="00AD5D70" w:rsidRDefault="00AD5D70" w:rsidP="00AD5D70">
            <w:pPr>
              <w:pStyle w:val="ListParagraph"/>
              <w:numPr>
                <w:ilvl w:val="0"/>
                <w:numId w:val="33"/>
              </w:numPr>
            </w:pPr>
            <w:r>
              <w:t>Continue to deliver our bespoke Cultural Intelligence training package in support of the Diploma of Transport Safety Investigation</w:t>
            </w:r>
          </w:p>
          <w:p w14:paraId="7305AB70" w14:textId="77777777" w:rsidR="00D04B00" w:rsidRDefault="00D04B00" w:rsidP="00C12D51">
            <w:pPr>
              <w:pStyle w:val="ListParagraph"/>
              <w:ind w:left="360"/>
            </w:pPr>
          </w:p>
          <w:p w14:paraId="3B8EDAA1" w14:textId="77777777" w:rsidR="00D04B00" w:rsidRDefault="00D04B00" w:rsidP="00C12D51">
            <w:pPr>
              <w:pStyle w:val="ListParagraph"/>
              <w:ind w:left="360"/>
            </w:pPr>
          </w:p>
        </w:tc>
        <w:tc>
          <w:tcPr>
            <w:tcW w:w="2571" w:type="dxa"/>
          </w:tcPr>
          <w:p w14:paraId="72661E8A" w14:textId="77777777" w:rsidR="00D04B00" w:rsidRDefault="00D04B00" w:rsidP="00C12D51"/>
          <w:p w14:paraId="52AE7BFC" w14:textId="77777777" w:rsidR="00AD5D70" w:rsidRDefault="00AD5D70" w:rsidP="00C12D51"/>
          <w:p w14:paraId="0AD74319" w14:textId="77777777" w:rsidR="00AD5D70" w:rsidRDefault="00AD5D70" w:rsidP="00AD5D70">
            <w:pPr>
              <w:pStyle w:val="ListParagraph"/>
              <w:numPr>
                <w:ilvl w:val="0"/>
                <w:numId w:val="35"/>
              </w:numPr>
            </w:pPr>
            <w:r>
              <w:t>Learning and Development</w:t>
            </w:r>
          </w:p>
        </w:tc>
        <w:tc>
          <w:tcPr>
            <w:tcW w:w="2126" w:type="dxa"/>
          </w:tcPr>
          <w:p w14:paraId="7F35D3AB" w14:textId="77777777" w:rsidR="00D04B00" w:rsidRDefault="00D04B00" w:rsidP="00C12D51"/>
          <w:p w14:paraId="4F065329" w14:textId="77777777" w:rsidR="00AD5D70" w:rsidRDefault="00AD5D70" w:rsidP="00C12D51"/>
          <w:p w14:paraId="40B13877" w14:textId="77777777" w:rsidR="00AD5D70" w:rsidRDefault="00AD5D70" w:rsidP="00AD5D70">
            <w:pPr>
              <w:pStyle w:val="ListParagraph"/>
              <w:numPr>
                <w:ilvl w:val="0"/>
                <w:numId w:val="35"/>
              </w:numPr>
            </w:pPr>
            <w:r>
              <w:t>Biannually</w:t>
            </w:r>
          </w:p>
        </w:tc>
        <w:tc>
          <w:tcPr>
            <w:tcW w:w="4143" w:type="dxa"/>
          </w:tcPr>
          <w:p w14:paraId="69D00EA3" w14:textId="77777777" w:rsidR="00D04B00" w:rsidRDefault="00D04B00" w:rsidP="00C12D51"/>
          <w:p w14:paraId="6DCE6226" w14:textId="77777777" w:rsidR="00AD5D70" w:rsidRDefault="00AD5D70" w:rsidP="00C12D51"/>
          <w:p w14:paraId="21982AF7" w14:textId="77777777" w:rsidR="00AD5D70" w:rsidRDefault="00AD5D70" w:rsidP="00AD5D70">
            <w:pPr>
              <w:pStyle w:val="ListParagraph"/>
              <w:numPr>
                <w:ilvl w:val="0"/>
                <w:numId w:val="36"/>
              </w:numPr>
            </w:pPr>
            <w:r>
              <w:t xml:space="preserve">All transport safety investigators have completed the initial training and </w:t>
            </w:r>
            <w:r w:rsidR="00500B0F">
              <w:t xml:space="preserve">are </w:t>
            </w:r>
            <w:r>
              <w:t>maintain</w:t>
            </w:r>
            <w:r w:rsidR="00500B0F">
              <w:t>ing</w:t>
            </w:r>
            <w:r>
              <w:t xml:space="preserve"> their competency through a refresher course every two years</w:t>
            </w:r>
          </w:p>
          <w:p w14:paraId="65B51394" w14:textId="77777777" w:rsidR="00AC3382" w:rsidRDefault="00AC3382" w:rsidP="00AC3382">
            <w:pPr>
              <w:pStyle w:val="ListParagraph"/>
            </w:pPr>
          </w:p>
        </w:tc>
      </w:tr>
      <w:tr w:rsidR="00AD5D70" w14:paraId="36ECD146" w14:textId="77777777" w:rsidTr="00AC3382">
        <w:tc>
          <w:tcPr>
            <w:tcW w:w="5334" w:type="dxa"/>
          </w:tcPr>
          <w:p w14:paraId="6544F200" w14:textId="77777777" w:rsidR="00D04B00" w:rsidRDefault="00D04B00" w:rsidP="00D04B00">
            <w:pPr>
              <w:pStyle w:val="ListParagraph"/>
              <w:numPr>
                <w:ilvl w:val="1"/>
                <w:numId w:val="6"/>
              </w:numPr>
            </w:pPr>
            <w:r>
              <w:t>Research and data</w:t>
            </w:r>
          </w:p>
          <w:p w14:paraId="2104C916" w14:textId="77777777" w:rsidR="00500B0F" w:rsidRDefault="00500B0F" w:rsidP="00500B0F"/>
          <w:p w14:paraId="4FA317B9" w14:textId="77777777" w:rsidR="00500B0F" w:rsidRDefault="00500B0F" w:rsidP="00500B0F">
            <w:pPr>
              <w:pStyle w:val="ListParagraph"/>
              <w:numPr>
                <w:ilvl w:val="0"/>
                <w:numId w:val="37"/>
              </w:numPr>
            </w:pPr>
            <w:r>
              <w:t>Collect ethnicity data through future stakeholder engagement surveys</w:t>
            </w:r>
          </w:p>
          <w:p w14:paraId="3ED20007" w14:textId="77777777" w:rsidR="00500B0F" w:rsidRDefault="00500B0F" w:rsidP="00500B0F">
            <w:pPr>
              <w:pStyle w:val="ListParagraph"/>
              <w:numPr>
                <w:ilvl w:val="0"/>
                <w:numId w:val="37"/>
              </w:numPr>
            </w:pPr>
            <w:r>
              <w:t xml:space="preserve">Research the </w:t>
            </w:r>
            <w:r w:rsidR="00324051">
              <w:t>percentages of CALD</w:t>
            </w:r>
            <w:r>
              <w:t xml:space="preserve"> stakeholders with</w:t>
            </w:r>
            <w:r w:rsidR="00AC3382">
              <w:t>in</w:t>
            </w:r>
            <w:r>
              <w:t xml:space="preserve"> the Australian aviation, marine and rail industries </w:t>
            </w:r>
          </w:p>
          <w:p w14:paraId="1957F4FF" w14:textId="77777777" w:rsidR="00D04B00" w:rsidRDefault="00D04B00" w:rsidP="00C12D51"/>
          <w:p w14:paraId="5E5E960E" w14:textId="77777777" w:rsidR="00D04B00" w:rsidRDefault="00D04B00" w:rsidP="00C12D51"/>
        </w:tc>
        <w:tc>
          <w:tcPr>
            <w:tcW w:w="2571" w:type="dxa"/>
          </w:tcPr>
          <w:p w14:paraId="6DAF727F" w14:textId="77777777" w:rsidR="00D04B00" w:rsidRDefault="00D04B00" w:rsidP="00C12D51"/>
          <w:p w14:paraId="7EC8630D" w14:textId="77777777" w:rsidR="00500B0F" w:rsidRDefault="00500B0F" w:rsidP="00C12D51"/>
          <w:p w14:paraId="688CDFBC" w14:textId="77777777" w:rsidR="00500B0F" w:rsidRDefault="00AC3382" w:rsidP="00AC3382">
            <w:pPr>
              <w:pStyle w:val="ListParagraph"/>
              <w:numPr>
                <w:ilvl w:val="0"/>
                <w:numId w:val="37"/>
              </w:numPr>
            </w:pPr>
            <w:r>
              <w:t>Communications</w:t>
            </w:r>
          </w:p>
          <w:p w14:paraId="7F700C6E" w14:textId="77777777" w:rsidR="00AC3382" w:rsidRDefault="00AC3382" w:rsidP="00AC3382"/>
          <w:p w14:paraId="0899CFB3" w14:textId="77777777" w:rsidR="00AC3382" w:rsidRDefault="00AC3382" w:rsidP="00AC3382">
            <w:pPr>
              <w:pStyle w:val="ListParagraph"/>
              <w:numPr>
                <w:ilvl w:val="0"/>
                <w:numId w:val="37"/>
              </w:numPr>
            </w:pPr>
            <w:r>
              <w:t>Research</w:t>
            </w:r>
          </w:p>
        </w:tc>
        <w:tc>
          <w:tcPr>
            <w:tcW w:w="2126" w:type="dxa"/>
          </w:tcPr>
          <w:p w14:paraId="0FC1C3B2" w14:textId="77777777" w:rsidR="00D04B00" w:rsidRDefault="00D04B00" w:rsidP="00C12D51"/>
          <w:p w14:paraId="177D49F3" w14:textId="77777777" w:rsidR="00AC3382" w:rsidRDefault="00AC3382" w:rsidP="00C12D51"/>
          <w:p w14:paraId="3C8AB14A" w14:textId="77777777" w:rsidR="00AC3382" w:rsidRDefault="00AC3382" w:rsidP="00AC3382">
            <w:pPr>
              <w:pStyle w:val="ListParagraph"/>
              <w:numPr>
                <w:ilvl w:val="0"/>
                <w:numId w:val="37"/>
              </w:numPr>
            </w:pPr>
            <w:r>
              <w:t>Before July 2015</w:t>
            </w:r>
          </w:p>
        </w:tc>
        <w:tc>
          <w:tcPr>
            <w:tcW w:w="4143" w:type="dxa"/>
          </w:tcPr>
          <w:p w14:paraId="2FC03EB2" w14:textId="77777777" w:rsidR="00D04B00" w:rsidRDefault="00D04B00" w:rsidP="00C12D51"/>
          <w:p w14:paraId="7D321232" w14:textId="77777777" w:rsidR="00AC3382" w:rsidRDefault="00AC3382" w:rsidP="00C12D51"/>
          <w:p w14:paraId="04F0F8B6" w14:textId="77777777" w:rsidR="00AC3382" w:rsidRDefault="00AC3382" w:rsidP="00AC3382">
            <w:pPr>
              <w:pStyle w:val="ListParagraph"/>
              <w:numPr>
                <w:ilvl w:val="0"/>
                <w:numId w:val="36"/>
              </w:numPr>
            </w:pPr>
            <w:r>
              <w:t>Data generated through future stakeholder engagement surveys</w:t>
            </w:r>
          </w:p>
          <w:p w14:paraId="2B820B00" w14:textId="77777777" w:rsidR="00AC3382" w:rsidRDefault="00AC3382" w:rsidP="00AC3382">
            <w:pPr>
              <w:pStyle w:val="ListParagraph"/>
              <w:numPr>
                <w:ilvl w:val="0"/>
                <w:numId w:val="36"/>
              </w:numPr>
            </w:pPr>
            <w:r>
              <w:t>Percentages established pending data being available through relevant industry regulators</w:t>
            </w:r>
          </w:p>
        </w:tc>
      </w:tr>
      <w:tr w:rsidR="00AD5D70" w14:paraId="70B5593C" w14:textId="77777777" w:rsidTr="00AC3382">
        <w:tc>
          <w:tcPr>
            <w:tcW w:w="5334" w:type="dxa"/>
          </w:tcPr>
          <w:p w14:paraId="36252ED7" w14:textId="77777777" w:rsidR="00D04B00" w:rsidRDefault="00D04B00" w:rsidP="00D04B00">
            <w:pPr>
              <w:pStyle w:val="ListParagraph"/>
              <w:numPr>
                <w:ilvl w:val="1"/>
                <w:numId w:val="6"/>
              </w:numPr>
            </w:pPr>
            <w:r>
              <w:t>Other actions</w:t>
            </w:r>
          </w:p>
          <w:p w14:paraId="4B82C1BA" w14:textId="77777777" w:rsidR="00D04B00" w:rsidRDefault="00D04B00" w:rsidP="00C12D51"/>
          <w:p w14:paraId="724ECB51" w14:textId="77777777" w:rsidR="00AC3382" w:rsidRDefault="00AC3382" w:rsidP="00AC3382">
            <w:pPr>
              <w:pStyle w:val="ListParagraph"/>
              <w:numPr>
                <w:ilvl w:val="0"/>
                <w:numId w:val="38"/>
              </w:numPr>
            </w:pPr>
            <w:r>
              <w:t xml:space="preserve">Revise the existing Workforce Diversity Program 2011-14 to ensure greater interoperability with current and future AMPs </w:t>
            </w:r>
          </w:p>
          <w:p w14:paraId="53DADEF5" w14:textId="77777777" w:rsidR="00D04B00" w:rsidRDefault="00D04B00" w:rsidP="00C12D51"/>
        </w:tc>
        <w:tc>
          <w:tcPr>
            <w:tcW w:w="2571" w:type="dxa"/>
          </w:tcPr>
          <w:p w14:paraId="0EA832A6" w14:textId="77777777" w:rsidR="00D04B00" w:rsidRDefault="00D04B00" w:rsidP="00C12D51"/>
          <w:p w14:paraId="65ABD562" w14:textId="77777777" w:rsidR="00AC3382" w:rsidRDefault="00AC3382" w:rsidP="00C12D51"/>
          <w:p w14:paraId="0C25EA98" w14:textId="77777777" w:rsidR="00AC3382" w:rsidRDefault="00AC3382" w:rsidP="00AC3382">
            <w:pPr>
              <w:pStyle w:val="ListParagraph"/>
              <w:numPr>
                <w:ilvl w:val="0"/>
                <w:numId w:val="38"/>
              </w:numPr>
            </w:pPr>
            <w:r>
              <w:t>Organisational Development</w:t>
            </w:r>
          </w:p>
        </w:tc>
        <w:tc>
          <w:tcPr>
            <w:tcW w:w="2126" w:type="dxa"/>
          </w:tcPr>
          <w:p w14:paraId="25A58277" w14:textId="77777777" w:rsidR="00D04B00" w:rsidRDefault="00D04B00" w:rsidP="00C12D51"/>
          <w:p w14:paraId="598AE060" w14:textId="77777777" w:rsidR="00AC3382" w:rsidRDefault="00AC3382" w:rsidP="00C12D51"/>
          <w:p w14:paraId="3FCEB837" w14:textId="77777777" w:rsidR="00AC3382" w:rsidRDefault="00AC3382" w:rsidP="00AC3382">
            <w:pPr>
              <w:pStyle w:val="ListParagraph"/>
              <w:numPr>
                <w:ilvl w:val="0"/>
                <w:numId w:val="38"/>
              </w:numPr>
            </w:pPr>
            <w:r>
              <w:t>Before September 2014</w:t>
            </w:r>
          </w:p>
        </w:tc>
        <w:tc>
          <w:tcPr>
            <w:tcW w:w="4143" w:type="dxa"/>
          </w:tcPr>
          <w:p w14:paraId="787DDAB0" w14:textId="77777777" w:rsidR="00D04B00" w:rsidRDefault="00D04B00" w:rsidP="00C12D51"/>
          <w:p w14:paraId="0F3B816F" w14:textId="77777777" w:rsidR="00AC3382" w:rsidRDefault="00AC3382" w:rsidP="00C12D51"/>
          <w:p w14:paraId="78E13D96" w14:textId="77777777" w:rsidR="00AC3382" w:rsidRDefault="0004796B" w:rsidP="0004796B">
            <w:pPr>
              <w:pStyle w:val="ListParagraph"/>
              <w:numPr>
                <w:ilvl w:val="0"/>
                <w:numId w:val="40"/>
              </w:numPr>
            </w:pPr>
            <w:r>
              <w:t>Greater interoperability with</w:t>
            </w:r>
            <w:r w:rsidR="00122209">
              <w:t xml:space="preserve"> Workforce Diversity Program objectives and AMP KPI’s established</w:t>
            </w:r>
          </w:p>
          <w:p w14:paraId="7404A185" w14:textId="77777777" w:rsidR="00122209" w:rsidRDefault="00122209" w:rsidP="00122209">
            <w:pPr>
              <w:pStyle w:val="ListParagraph"/>
            </w:pPr>
          </w:p>
        </w:tc>
      </w:tr>
    </w:tbl>
    <w:p w14:paraId="782D3E9E" w14:textId="77777777" w:rsidR="00342737" w:rsidRDefault="00342737">
      <w:pPr>
        <w:rPr>
          <w:b/>
          <w:u w:val="single"/>
        </w:rPr>
      </w:pPr>
    </w:p>
    <w:p w14:paraId="7AC81BEC" w14:textId="77777777" w:rsidR="00F5658B" w:rsidRDefault="00F5658B">
      <w:pPr>
        <w:rPr>
          <w:b/>
          <w:u w:val="single"/>
        </w:rPr>
      </w:pPr>
      <w:r w:rsidRPr="00BC4809">
        <w:rPr>
          <w:b/>
          <w:u w:val="single"/>
        </w:rPr>
        <w:lastRenderedPageBreak/>
        <w:t>Agency Multicultural Plan - Core Obligations and Objectives (continued)</w:t>
      </w:r>
    </w:p>
    <w:p w14:paraId="69E4158F" w14:textId="77777777" w:rsidR="003A4442" w:rsidRPr="003A4442" w:rsidRDefault="003A4442" w:rsidP="003A4442">
      <w:pPr>
        <w:spacing w:after="0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9"/>
        <w:gridCol w:w="2803"/>
        <w:gridCol w:w="2137"/>
        <w:gridCol w:w="4285"/>
      </w:tblGrid>
      <w:tr w:rsidR="00D04B00" w14:paraId="5DD24710" w14:textId="77777777" w:rsidTr="00C12D51">
        <w:tc>
          <w:tcPr>
            <w:tcW w:w="14174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E1BED48" w14:textId="77777777" w:rsidR="00D04B00" w:rsidRPr="00194A2D" w:rsidRDefault="00D04B00" w:rsidP="00194A2D">
            <w:pPr>
              <w:pStyle w:val="ListParagraph"/>
              <w:numPr>
                <w:ilvl w:val="0"/>
                <w:numId w:val="12"/>
              </w:numPr>
              <w:ind w:left="284" w:hanging="284"/>
              <w:rPr>
                <w:b/>
              </w:rPr>
            </w:pPr>
            <w:r w:rsidRPr="00194A2D">
              <w:rPr>
                <w:b/>
              </w:rPr>
              <w:t>Responsiveness</w:t>
            </w:r>
            <w:r w:rsidR="00122209">
              <w:rPr>
                <w:b/>
              </w:rPr>
              <w:t xml:space="preserve"> </w:t>
            </w:r>
            <w:r w:rsidR="0004796B">
              <w:rPr>
                <w:b/>
              </w:rPr>
              <w:t>–</w:t>
            </w:r>
            <w:r w:rsidR="00122209">
              <w:rPr>
                <w:b/>
              </w:rPr>
              <w:t xml:space="preserve"> </w:t>
            </w:r>
            <w:r w:rsidR="0004796B">
              <w:rPr>
                <w:b/>
              </w:rPr>
              <w:t xml:space="preserve">respond effectively to the needs of </w:t>
            </w:r>
            <w:r w:rsidR="00E318F9">
              <w:rPr>
                <w:b/>
              </w:rPr>
              <w:t xml:space="preserve">identified </w:t>
            </w:r>
            <w:r w:rsidR="00C61057">
              <w:rPr>
                <w:b/>
              </w:rPr>
              <w:t>CALD</w:t>
            </w:r>
            <w:r w:rsidR="0004796B">
              <w:rPr>
                <w:b/>
              </w:rPr>
              <w:t xml:space="preserve"> stakeholders.</w:t>
            </w:r>
          </w:p>
          <w:p w14:paraId="406AD74C" w14:textId="77777777" w:rsidR="00D04B00" w:rsidRPr="00194A2D" w:rsidRDefault="00D04B00" w:rsidP="00C12D51">
            <w:pPr>
              <w:rPr>
                <w:b/>
              </w:rPr>
            </w:pPr>
          </w:p>
        </w:tc>
      </w:tr>
      <w:tr w:rsidR="008116B4" w14:paraId="4A2BF7A4" w14:textId="77777777" w:rsidTr="00C61057">
        <w:tc>
          <w:tcPr>
            <w:tcW w:w="4949" w:type="dxa"/>
            <w:shd w:val="pct10" w:color="auto" w:fill="auto"/>
          </w:tcPr>
          <w:p w14:paraId="66FD2373" w14:textId="77777777" w:rsidR="00D04B00" w:rsidRPr="00194A2D" w:rsidRDefault="00D04B00" w:rsidP="00C12D51">
            <w:pPr>
              <w:rPr>
                <w:b/>
              </w:rPr>
            </w:pPr>
            <w:r w:rsidRPr="00194A2D">
              <w:rPr>
                <w:b/>
              </w:rPr>
              <w:t>Action</w:t>
            </w:r>
          </w:p>
          <w:p w14:paraId="1845EF89" w14:textId="77777777" w:rsidR="00D04B00" w:rsidRPr="00194A2D" w:rsidRDefault="00D04B00" w:rsidP="00C12D51">
            <w:pPr>
              <w:rPr>
                <w:b/>
              </w:rPr>
            </w:pPr>
          </w:p>
        </w:tc>
        <w:tc>
          <w:tcPr>
            <w:tcW w:w="2803" w:type="dxa"/>
            <w:shd w:val="pct10" w:color="auto" w:fill="auto"/>
          </w:tcPr>
          <w:p w14:paraId="4E031ECE" w14:textId="77777777" w:rsidR="00D04B00" w:rsidRPr="00194A2D" w:rsidRDefault="00D04B00" w:rsidP="00C12D51">
            <w:pPr>
              <w:rPr>
                <w:b/>
              </w:rPr>
            </w:pPr>
            <w:r w:rsidRPr="00194A2D">
              <w:rPr>
                <w:b/>
              </w:rPr>
              <w:t>Responsibility</w:t>
            </w:r>
          </w:p>
        </w:tc>
        <w:tc>
          <w:tcPr>
            <w:tcW w:w="2137" w:type="dxa"/>
            <w:shd w:val="pct10" w:color="auto" w:fill="auto"/>
          </w:tcPr>
          <w:p w14:paraId="68C19BFA" w14:textId="77777777" w:rsidR="00D04B00" w:rsidRPr="00194A2D" w:rsidRDefault="00D04B00" w:rsidP="00C12D51">
            <w:pPr>
              <w:rPr>
                <w:b/>
              </w:rPr>
            </w:pPr>
            <w:r w:rsidRPr="00194A2D">
              <w:rPr>
                <w:b/>
              </w:rPr>
              <w:t>Timeline</w:t>
            </w:r>
          </w:p>
        </w:tc>
        <w:tc>
          <w:tcPr>
            <w:tcW w:w="4285" w:type="dxa"/>
            <w:shd w:val="pct10" w:color="auto" w:fill="auto"/>
          </w:tcPr>
          <w:p w14:paraId="6689A92C" w14:textId="77777777" w:rsidR="00D04B00" w:rsidRPr="00194A2D" w:rsidRDefault="00E318F9" w:rsidP="00C12D51">
            <w:pPr>
              <w:rPr>
                <w:b/>
              </w:rPr>
            </w:pPr>
            <w:r>
              <w:rPr>
                <w:b/>
              </w:rPr>
              <w:t>Targets</w:t>
            </w:r>
          </w:p>
        </w:tc>
      </w:tr>
      <w:tr w:rsidR="008116B4" w14:paraId="1BF97356" w14:textId="77777777" w:rsidTr="00C61057">
        <w:tc>
          <w:tcPr>
            <w:tcW w:w="4949" w:type="dxa"/>
          </w:tcPr>
          <w:p w14:paraId="13C835AF" w14:textId="77777777" w:rsidR="00D04B00" w:rsidRDefault="00D04B00" w:rsidP="00D04B00">
            <w:pPr>
              <w:pStyle w:val="ListParagraph"/>
              <w:numPr>
                <w:ilvl w:val="1"/>
                <w:numId w:val="7"/>
              </w:numPr>
            </w:pPr>
            <w:r>
              <w:t>Standards</w:t>
            </w:r>
          </w:p>
          <w:p w14:paraId="02C02BA8" w14:textId="77777777" w:rsidR="00122209" w:rsidRDefault="00122209" w:rsidP="00122209"/>
          <w:p w14:paraId="21577E89" w14:textId="77777777" w:rsidR="00122209" w:rsidRDefault="00324051" w:rsidP="00122209">
            <w:pPr>
              <w:pStyle w:val="ListParagraph"/>
              <w:numPr>
                <w:ilvl w:val="0"/>
                <w:numId w:val="39"/>
              </w:numPr>
            </w:pPr>
            <w:r>
              <w:t>Adhere to relevant Whole-of-Government guidelines and standards that have incorporated access and equity considerations</w:t>
            </w:r>
          </w:p>
          <w:p w14:paraId="349E1195" w14:textId="77777777" w:rsidR="00D04B00" w:rsidRDefault="00D04B00" w:rsidP="00C61057"/>
        </w:tc>
        <w:tc>
          <w:tcPr>
            <w:tcW w:w="2803" w:type="dxa"/>
          </w:tcPr>
          <w:p w14:paraId="2F155A5F" w14:textId="77777777" w:rsidR="00D04B00" w:rsidRDefault="00D04B00" w:rsidP="00C12D51"/>
          <w:p w14:paraId="6138AECC" w14:textId="77777777" w:rsidR="00324051" w:rsidRDefault="00324051" w:rsidP="00C12D51"/>
          <w:p w14:paraId="5696C277" w14:textId="77777777" w:rsidR="00324051" w:rsidRDefault="00324051" w:rsidP="00324051">
            <w:pPr>
              <w:pStyle w:val="ListParagraph"/>
              <w:numPr>
                <w:ilvl w:val="0"/>
                <w:numId w:val="46"/>
              </w:numPr>
            </w:pPr>
            <w:r>
              <w:t>Champion</w:t>
            </w:r>
          </w:p>
        </w:tc>
        <w:tc>
          <w:tcPr>
            <w:tcW w:w="2137" w:type="dxa"/>
          </w:tcPr>
          <w:p w14:paraId="70AF40D2" w14:textId="77777777" w:rsidR="00D04B00" w:rsidRDefault="00D04B00" w:rsidP="00C12D51"/>
          <w:p w14:paraId="0E56A038" w14:textId="77777777" w:rsidR="00324051" w:rsidRDefault="00324051" w:rsidP="00C12D51"/>
          <w:p w14:paraId="2C4D356C" w14:textId="77777777" w:rsidR="00324051" w:rsidRDefault="00C61057" w:rsidP="00324051">
            <w:pPr>
              <w:pStyle w:val="ListParagraph"/>
              <w:numPr>
                <w:ilvl w:val="0"/>
                <w:numId w:val="46"/>
              </w:numPr>
            </w:pPr>
            <w:r>
              <w:t>July 2013</w:t>
            </w:r>
          </w:p>
        </w:tc>
        <w:tc>
          <w:tcPr>
            <w:tcW w:w="4285" w:type="dxa"/>
          </w:tcPr>
          <w:p w14:paraId="2907491A" w14:textId="77777777" w:rsidR="00D04B00" w:rsidRDefault="00D04B00" w:rsidP="00C12D51"/>
          <w:p w14:paraId="178C2E42" w14:textId="77777777" w:rsidR="00C61057" w:rsidRDefault="00C61057" w:rsidP="00C12D51"/>
          <w:p w14:paraId="77D75C36" w14:textId="77777777" w:rsidR="00C61057" w:rsidRDefault="00C61057" w:rsidP="00C61057">
            <w:pPr>
              <w:pStyle w:val="ListParagraph"/>
              <w:numPr>
                <w:ilvl w:val="0"/>
                <w:numId w:val="40"/>
              </w:numPr>
            </w:pPr>
            <w:r>
              <w:t>All relevant access and equity considerations identified/accommodated</w:t>
            </w:r>
          </w:p>
        </w:tc>
      </w:tr>
      <w:tr w:rsidR="008116B4" w14:paraId="7FFA4C19" w14:textId="77777777" w:rsidTr="00C61057">
        <w:tc>
          <w:tcPr>
            <w:tcW w:w="4949" w:type="dxa"/>
          </w:tcPr>
          <w:p w14:paraId="4BCA7D7D" w14:textId="77777777" w:rsidR="00D04B00" w:rsidRDefault="00D04B00" w:rsidP="00D04B00">
            <w:pPr>
              <w:pStyle w:val="ListParagraph"/>
              <w:numPr>
                <w:ilvl w:val="1"/>
                <w:numId w:val="7"/>
              </w:numPr>
            </w:pPr>
            <w:r>
              <w:t>Policy, program and service delivery</w:t>
            </w:r>
          </w:p>
          <w:p w14:paraId="323CF6AF" w14:textId="77777777" w:rsidR="00122209" w:rsidRDefault="00122209" w:rsidP="00122209"/>
          <w:p w14:paraId="67D05BFB" w14:textId="77777777" w:rsidR="00122209" w:rsidRDefault="00E318F9" w:rsidP="00122209">
            <w:pPr>
              <w:pStyle w:val="ListParagraph"/>
              <w:numPr>
                <w:ilvl w:val="0"/>
                <w:numId w:val="39"/>
              </w:numPr>
            </w:pPr>
            <w:r>
              <w:t xml:space="preserve">In </w:t>
            </w:r>
            <w:r w:rsidR="003A4442">
              <w:t>parallel</w:t>
            </w:r>
            <w:r>
              <w:t xml:space="preserve"> with</w:t>
            </w:r>
            <w:r w:rsidR="00C61057">
              <w:t xml:space="preserve"> establishing ethnicity and CALD</w:t>
            </w:r>
            <w:r>
              <w:t xml:space="preserve"> data through future stakeholder engagement surveys, </w:t>
            </w:r>
            <w:r w:rsidR="003A4442">
              <w:t>ensure feedback on the effectiveness of our service delivery is captured</w:t>
            </w:r>
          </w:p>
          <w:p w14:paraId="3F65A62B" w14:textId="77777777" w:rsidR="003A4442" w:rsidRDefault="003A4442" w:rsidP="00122209">
            <w:pPr>
              <w:pStyle w:val="ListParagraph"/>
              <w:numPr>
                <w:ilvl w:val="0"/>
                <w:numId w:val="39"/>
              </w:numPr>
            </w:pPr>
            <w:r>
              <w:t>Action potential areas for improvement (</w:t>
            </w:r>
            <w:proofErr w:type="spellStart"/>
            <w:r>
              <w:t>eg</w:t>
            </w:r>
            <w:proofErr w:type="spellEnd"/>
            <w:r>
              <w:t>, relevant transport safety investigation reports produced in multiple languages)</w:t>
            </w:r>
          </w:p>
          <w:p w14:paraId="39A48E5F" w14:textId="77777777" w:rsidR="003A4442" w:rsidRDefault="003A4442" w:rsidP="003A4442">
            <w:pPr>
              <w:pStyle w:val="ListParagraph"/>
            </w:pPr>
          </w:p>
          <w:p w14:paraId="78F6A8AD" w14:textId="77777777" w:rsidR="00D04B00" w:rsidRDefault="00D04B00" w:rsidP="00C12D51"/>
        </w:tc>
        <w:tc>
          <w:tcPr>
            <w:tcW w:w="2803" w:type="dxa"/>
          </w:tcPr>
          <w:p w14:paraId="29B1F0B5" w14:textId="77777777" w:rsidR="00D04B00" w:rsidRDefault="00D04B00" w:rsidP="00C12D51"/>
          <w:p w14:paraId="2A6C0CF9" w14:textId="77777777" w:rsidR="008116B4" w:rsidRDefault="008116B4" w:rsidP="00C12D51"/>
          <w:p w14:paraId="0E3A6F4C" w14:textId="77777777" w:rsidR="008116B4" w:rsidRDefault="008116B4" w:rsidP="008116B4">
            <w:pPr>
              <w:pStyle w:val="ListParagraph"/>
              <w:numPr>
                <w:ilvl w:val="0"/>
                <w:numId w:val="39"/>
              </w:numPr>
            </w:pPr>
            <w:r>
              <w:t>Communications</w:t>
            </w:r>
          </w:p>
          <w:p w14:paraId="72CC6AFB" w14:textId="77777777" w:rsidR="008116B4" w:rsidRDefault="008116B4" w:rsidP="008116B4">
            <w:pPr>
              <w:pStyle w:val="ListParagraph"/>
            </w:pPr>
          </w:p>
        </w:tc>
        <w:tc>
          <w:tcPr>
            <w:tcW w:w="2137" w:type="dxa"/>
          </w:tcPr>
          <w:p w14:paraId="27311E1D" w14:textId="77777777" w:rsidR="00D04B00" w:rsidRDefault="00D04B00" w:rsidP="00C12D51"/>
          <w:p w14:paraId="225D0CFD" w14:textId="77777777" w:rsidR="008116B4" w:rsidRDefault="008116B4" w:rsidP="00C12D51"/>
          <w:p w14:paraId="66C80034" w14:textId="77777777" w:rsidR="008116B4" w:rsidRDefault="008116B4" w:rsidP="008116B4">
            <w:pPr>
              <w:pStyle w:val="ListParagraph"/>
              <w:numPr>
                <w:ilvl w:val="0"/>
                <w:numId w:val="39"/>
              </w:numPr>
            </w:pPr>
            <w:r>
              <w:t>Before July 2015</w:t>
            </w:r>
          </w:p>
        </w:tc>
        <w:tc>
          <w:tcPr>
            <w:tcW w:w="4285" w:type="dxa"/>
          </w:tcPr>
          <w:p w14:paraId="21BCB0DF" w14:textId="77777777" w:rsidR="00D04B00" w:rsidRDefault="00D04B00" w:rsidP="00C12D51"/>
          <w:p w14:paraId="5EDA16A7" w14:textId="77777777" w:rsidR="008116B4" w:rsidRDefault="008116B4" w:rsidP="00C12D51"/>
          <w:p w14:paraId="6FA3F4FC" w14:textId="77777777" w:rsidR="008116B4" w:rsidRDefault="008116B4" w:rsidP="008116B4">
            <w:pPr>
              <w:pStyle w:val="ListParagraph"/>
              <w:numPr>
                <w:ilvl w:val="0"/>
                <w:numId w:val="40"/>
              </w:numPr>
            </w:pPr>
            <w:r>
              <w:t xml:space="preserve">Feedback established and areas for improvement </w:t>
            </w:r>
            <w:r w:rsidR="00F67C0C">
              <w:t>identified/</w:t>
            </w:r>
            <w:r>
              <w:t>actioned</w:t>
            </w:r>
          </w:p>
        </w:tc>
      </w:tr>
      <w:tr w:rsidR="008116B4" w14:paraId="28E9D7FC" w14:textId="77777777" w:rsidTr="00C61057">
        <w:tc>
          <w:tcPr>
            <w:tcW w:w="4949" w:type="dxa"/>
          </w:tcPr>
          <w:p w14:paraId="4046524B" w14:textId="77777777" w:rsidR="00D04B00" w:rsidRDefault="00D04B00" w:rsidP="00D04B00">
            <w:pPr>
              <w:pStyle w:val="ListParagraph"/>
              <w:numPr>
                <w:ilvl w:val="1"/>
                <w:numId w:val="7"/>
              </w:numPr>
            </w:pPr>
            <w:r>
              <w:t>Outsourced services</w:t>
            </w:r>
          </w:p>
          <w:p w14:paraId="64CFE0C9" w14:textId="77777777" w:rsidR="003A4442" w:rsidRDefault="003A4442" w:rsidP="003A4442"/>
          <w:p w14:paraId="15EF5B2F" w14:textId="77777777" w:rsidR="003A4442" w:rsidRDefault="00651A31" w:rsidP="003A4442">
            <w:pPr>
              <w:pStyle w:val="ListParagraph"/>
              <w:numPr>
                <w:ilvl w:val="0"/>
                <w:numId w:val="41"/>
              </w:numPr>
            </w:pPr>
            <w:r>
              <w:t>Where relevant</w:t>
            </w:r>
            <w:r w:rsidR="00342737">
              <w:t>,</w:t>
            </w:r>
            <w:r>
              <w:t xml:space="preserve"> ensure provisio</w:t>
            </w:r>
            <w:r w:rsidR="008116B4">
              <w:t>ns for</w:t>
            </w:r>
            <w:r>
              <w:t xml:space="preserve"> multicultural access and equity</w:t>
            </w:r>
            <w:r w:rsidR="008116B4">
              <w:t xml:space="preserve"> are incorporated into contracts and guidance materials</w:t>
            </w:r>
          </w:p>
          <w:p w14:paraId="1A89DD96" w14:textId="77777777" w:rsidR="00D04B00" w:rsidRDefault="00D04B00" w:rsidP="00C12D51"/>
        </w:tc>
        <w:tc>
          <w:tcPr>
            <w:tcW w:w="2803" w:type="dxa"/>
          </w:tcPr>
          <w:p w14:paraId="36069038" w14:textId="77777777" w:rsidR="00D04B00" w:rsidRDefault="00D04B00" w:rsidP="00C12D51"/>
          <w:p w14:paraId="34D78E2F" w14:textId="77777777" w:rsidR="008116B4" w:rsidRDefault="008116B4" w:rsidP="00C12D51"/>
          <w:p w14:paraId="4C7672BF" w14:textId="77777777" w:rsidR="008116B4" w:rsidRDefault="008116B4" w:rsidP="008116B4">
            <w:pPr>
              <w:pStyle w:val="ListParagraph"/>
              <w:numPr>
                <w:ilvl w:val="0"/>
                <w:numId w:val="41"/>
              </w:numPr>
            </w:pPr>
            <w:r>
              <w:t>Communications and Finance</w:t>
            </w:r>
          </w:p>
        </w:tc>
        <w:tc>
          <w:tcPr>
            <w:tcW w:w="2137" w:type="dxa"/>
          </w:tcPr>
          <w:p w14:paraId="771CE2C6" w14:textId="77777777" w:rsidR="00D04B00" w:rsidRDefault="00D04B00" w:rsidP="00C12D51"/>
          <w:p w14:paraId="2A34BA85" w14:textId="77777777" w:rsidR="008116B4" w:rsidRDefault="008116B4" w:rsidP="00C12D51"/>
          <w:p w14:paraId="43E44C12" w14:textId="77777777" w:rsidR="008116B4" w:rsidRDefault="00C61057" w:rsidP="008116B4">
            <w:pPr>
              <w:pStyle w:val="ListParagraph"/>
              <w:numPr>
                <w:ilvl w:val="0"/>
                <w:numId w:val="41"/>
              </w:numPr>
            </w:pPr>
            <w:r>
              <w:t>July 2013-15</w:t>
            </w:r>
          </w:p>
        </w:tc>
        <w:tc>
          <w:tcPr>
            <w:tcW w:w="4285" w:type="dxa"/>
          </w:tcPr>
          <w:p w14:paraId="28471A85" w14:textId="77777777" w:rsidR="00D04B00" w:rsidRDefault="00D04B00" w:rsidP="00C12D51"/>
          <w:p w14:paraId="4AD11AD6" w14:textId="77777777" w:rsidR="008116B4" w:rsidRDefault="008116B4" w:rsidP="00C12D51"/>
          <w:p w14:paraId="52FF5843" w14:textId="77777777" w:rsidR="008116B4" w:rsidRDefault="008116B4" w:rsidP="008116B4">
            <w:pPr>
              <w:pStyle w:val="ListParagraph"/>
              <w:numPr>
                <w:ilvl w:val="0"/>
                <w:numId w:val="40"/>
              </w:numPr>
            </w:pPr>
            <w:r>
              <w:t>Compliance monitored through existing quality assurance framework</w:t>
            </w:r>
          </w:p>
        </w:tc>
      </w:tr>
    </w:tbl>
    <w:p w14:paraId="2E0FA9A0" w14:textId="77777777" w:rsidR="00F5658B" w:rsidRDefault="00F5658B">
      <w:pPr>
        <w:rPr>
          <w:b/>
          <w:u w:val="single"/>
        </w:rPr>
      </w:pPr>
      <w:r w:rsidRPr="00BC4809">
        <w:rPr>
          <w:b/>
          <w:u w:val="single"/>
        </w:rPr>
        <w:lastRenderedPageBreak/>
        <w:t>Agency Multicultural Plan - Core Obligations and Objectives (continued)</w:t>
      </w:r>
    </w:p>
    <w:p w14:paraId="29EB391E" w14:textId="77777777" w:rsidR="00565ED3" w:rsidRPr="00565ED3" w:rsidRDefault="00565ED3" w:rsidP="00565ED3">
      <w:pPr>
        <w:spacing w:after="0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0"/>
        <w:gridCol w:w="2803"/>
        <w:gridCol w:w="2328"/>
        <w:gridCol w:w="4243"/>
      </w:tblGrid>
      <w:tr w:rsidR="00D04B00" w14:paraId="7A73F0D4" w14:textId="77777777" w:rsidTr="00C12D51">
        <w:tc>
          <w:tcPr>
            <w:tcW w:w="14174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FFAED25" w14:textId="77777777" w:rsidR="00D04B00" w:rsidRPr="00194A2D" w:rsidRDefault="00194A2D" w:rsidP="00194A2D">
            <w:pPr>
              <w:pStyle w:val="ListParagraph"/>
              <w:numPr>
                <w:ilvl w:val="0"/>
                <w:numId w:val="12"/>
              </w:numPr>
              <w:ind w:left="284" w:hanging="284"/>
              <w:rPr>
                <w:b/>
              </w:rPr>
            </w:pPr>
            <w:r w:rsidRPr="00194A2D">
              <w:rPr>
                <w:b/>
              </w:rPr>
              <w:t>Openness</w:t>
            </w:r>
            <w:r w:rsidR="008116B4">
              <w:rPr>
                <w:b/>
              </w:rPr>
              <w:t xml:space="preserve"> </w:t>
            </w:r>
            <w:r w:rsidR="00F67C0C">
              <w:rPr>
                <w:b/>
              </w:rPr>
              <w:t>–</w:t>
            </w:r>
            <w:r w:rsidR="008116B4">
              <w:rPr>
                <w:b/>
              </w:rPr>
              <w:t xml:space="preserve"> </w:t>
            </w:r>
            <w:r w:rsidR="00F67C0C">
              <w:rPr>
                <w:b/>
              </w:rPr>
              <w:t>establishing greater levels of transparency and more effective channels of communication.</w:t>
            </w:r>
          </w:p>
          <w:p w14:paraId="18687597" w14:textId="77777777" w:rsidR="00D04B00" w:rsidRPr="00194A2D" w:rsidRDefault="00D04B00" w:rsidP="00C12D51">
            <w:pPr>
              <w:rPr>
                <w:b/>
              </w:rPr>
            </w:pPr>
          </w:p>
        </w:tc>
      </w:tr>
      <w:tr w:rsidR="00565ED3" w14:paraId="49013DC0" w14:textId="77777777" w:rsidTr="00C12D51">
        <w:tc>
          <w:tcPr>
            <w:tcW w:w="5495" w:type="dxa"/>
            <w:shd w:val="pct10" w:color="auto" w:fill="auto"/>
          </w:tcPr>
          <w:p w14:paraId="4CEAE016" w14:textId="77777777" w:rsidR="00D04B00" w:rsidRPr="00194A2D" w:rsidRDefault="00D04B00" w:rsidP="00C12D51">
            <w:pPr>
              <w:rPr>
                <w:b/>
              </w:rPr>
            </w:pPr>
            <w:r w:rsidRPr="00194A2D">
              <w:rPr>
                <w:b/>
              </w:rPr>
              <w:t>Action</w:t>
            </w:r>
          </w:p>
          <w:p w14:paraId="69A39B8F" w14:textId="77777777" w:rsidR="00D04B00" w:rsidRPr="00194A2D" w:rsidRDefault="00D04B00" w:rsidP="00C12D51">
            <w:pPr>
              <w:rPr>
                <w:b/>
              </w:rPr>
            </w:pPr>
          </w:p>
        </w:tc>
        <w:tc>
          <w:tcPr>
            <w:tcW w:w="1984" w:type="dxa"/>
            <w:shd w:val="pct10" w:color="auto" w:fill="auto"/>
          </w:tcPr>
          <w:p w14:paraId="4493A88C" w14:textId="77777777" w:rsidR="00D04B00" w:rsidRPr="00194A2D" w:rsidRDefault="00D04B00" w:rsidP="00C12D51">
            <w:pPr>
              <w:rPr>
                <w:b/>
              </w:rPr>
            </w:pPr>
            <w:r w:rsidRPr="00194A2D">
              <w:rPr>
                <w:b/>
              </w:rPr>
              <w:t>Responsibility</w:t>
            </w:r>
          </w:p>
        </w:tc>
        <w:tc>
          <w:tcPr>
            <w:tcW w:w="1843" w:type="dxa"/>
            <w:shd w:val="pct10" w:color="auto" w:fill="auto"/>
          </w:tcPr>
          <w:p w14:paraId="6FB5D667" w14:textId="77777777" w:rsidR="00D04B00" w:rsidRPr="00194A2D" w:rsidRDefault="00D04B00" w:rsidP="00C12D51">
            <w:pPr>
              <w:rPr>
                <w:b/>
              </w:rPr>
            </w:pPr>
            <w:r w:rsidRPr="00194A2D">
              <w:rPr>
                <w:b/>
              </w:rPr>
              <w:t>Timeline</w:t>
            </w:r>
          </w:p>
        </w:tc>
        <w:tc>
          <w:tcPr>
            <w:tcW w:w="4852" w:type="dxa"/>
            <w:shd w:val="pct10" w:color="auto" w:fill="auto"/>
          </w:tcPr>
          <w:p w14:paraId="2DEF1B90" w14:textId="77777777" w:rsidR="00D04B00" w:rsidRPr="00194A2D" w:rsidRDefault="00F67C0C" w:rsidP="00C12D51">
            <w:pPr>
              <w:rPr>
                <w:b/>
              </w:rPr>
            </w:pPr>
            <w:r>
              <w:rPr>
                <w:b/>
              </w:rPr>
              <w:t>Targets</w:t>
            </w:r>
          </w:p>
        </w:tc>
      </w:tr>
      <w:tr w:rsidR="00565ED3" w14:paraId="740B58B6" w14:textId="77777777" w:rsidTr="00C12D51">
        <w:tc>
          <w:tcPr>
            <w:tcW w:w="5495" w:type="dxa"/>
          </w:tcPr>
          <w:p w14:paraId="4FAAD1CE" w14:textId="77777777" w:rsidR="00D04B00" w:rsidRDefault="00194A2D" w:rsidP="00194A2D">
            <w:pPr>
              <w:pStyle w:val="ListParagraph"/>
              <w:numPr>
                <w:ilvl w:val="1"/>
                <w:numId w:val="8"/>
              </w:numPr>
            </w:pPr>
            <w:r>
              <w:t>Publishing</w:t>
            </w:r>
          </w:p>
          <w:p w14:paraId="673FAA9E" w14:textId="77777777" w:rsidR="00F67C0C" w:rsidRDefault="00F67C0C" w:rsidP="00F67C0C"/>
          <w:p w14:paraId="108166FD" w14:textId="77777777" w:rsidR="00F67C0C" w:rsidRDefault="00F67C0C" w:rsidP="00F67C0C">
            <w:pPr>
              <w:pStyle w:val="ListParagraph"/>
              <w:numPr>
                <w:ilvl w:val="0"/>
                <w:numId w:val="42"/>
              </w:numPr>
            </w:pPr>
            <w:r>
              <w:t xml:space="preserve">The AMP will be made publicly </w:t>
            </w:r>
            <w:r w:rsidR="00E72926">
              <w:t>available</w:t>
            </w:r>
            <w:r>
              <w:t xml:space="preserve"> through the ATSB’s website</w:t>
            </w:r>
            <w:r w:rsidR="00E72926">
              <w:t xml:space="preserve"> </w:t>
            </w:r>
          </w:p>
          <w:p w14:paraId="4F58A77D" w14:textId="77777777" w:rsidR="00F67C0C" w:rsidRDefault="00E72926" w:rsidP="00F67C0C">
            <w:pPr>
              <w:pStyle w:val="ListParagraph"/>
              <w:numPr>
                <w:ilvl w:val="0"/>
                <w:numId w:val="42"/>
              </w:numPr>
            </w:pPr>
            <w:r>
              <w:t>The AMP will be readily accessible for staff through the internal Hub and printed versions distributed</w:t>
            </w:r>
          </w:p>
          <w:p w14:paraId="171E4D5D" w14:textId="77777777" w:rsidR="00E72926" w:rsidRDefault="00E72926" w:rsidP="00F67C0C">
            <w:pPr>
              <w:pStyle w:val="ListParagraph"/>
              <w:numPr>
                <w:ilvl w:val="0"/>
                <w:numId w:val="42"/>
              </w:numPr>
            </w:pPr>
            <w:r>
              <w:t>Progress towards relevant targets (KPIs) will be reported through the annual report</w:t>
            </w:r>
          </w:p>
          <w:p w14:paraId="008AB24B" w14:textId="77777777" w:rsidR="00D04B00" w:rsidRDefault="00D04B00" w:rsidP="00565ED3"/>
        </w:tc>
        <w:tc>
          <w:tcPr>
            <w:tcW w:w="1984" w:type="dxa"/>
          </w:tcPr>
          <w:p w14:paraId="63E6A1FD" w14:textId="77777777" w:rsidR="00D04B00" w:rsidRDefault="00D04B00" w:rsidP="00C12D51"/>
          <w:p w14:paraId="21E15056" w14:textId="77777777" w:rsidR="00E72926" w:rsidRDefault="00E72926" w:rsidP="00C12D51"/>
          <w:p w14:paraId="5BD3C7FC" w14:textId="77777777" w:rsidR="00E72926" w:rsidRDefault="00E72926" w:rsidP="00E72926">
            <w:pPr>
              <w:pStyle w:val="ListParagraph"/>
              <w:numPr>
                <w:ilvl w:val="0"/>
                <w:numId w:val="42"/>
              </w:numPr>
            </w:pPr>
            <w:r>
              <w:t>Communications</w:t>
            </w:r>
          </w:p>
          <w:p w14:paraId="66ABF918" w14:textId="77777777" w:rsidR="00E72926" w:rsidRDefault="00E72926" w:rsidP="00E72926"/>
          <w:p w14:paraId="6E7FF2CB" w14:textId="77777777" w:rsidR="00E72926" w:rsidRDefault="00E72926" w:rsidP="00E72926">
            <w:pPr>
              <w:pStyle w:val="ListParagraph"/>
              <w:numPr>
                <w:ilvl w:val="0"/>
                <w:numId w:val="42"/>
              </w:numPr>
            </w:pPr>
            <w:r>
              <w:t>Organisational Development</w:t>
            </w:r>
          </w:p>
          <w:p w14:paraId="3D925739" w14:textId="77777777" w:rsidR="00E72926" w:rsidRDefault="00E72926" w:rsidP="00E72926">
            <w:pPr>
              <w:pStyle w:val="ListParagraph"/>
            </w:pPr>
          </w:p>
          <w:p w14:paraId="3228FAC0" w14:textId="77777777" w:rsidR="00E72926" w:rsidRDefault="00E72926" w:rsidP="00E72926">
            <w:pPr>
              <w:pStyle w:val="ListParagraph"/>
              <w:numPr>
                <w:ilvl w:val="0"/>
                <w:numId w:val="42"/>
              </w:numPr>
            </w:pPr>
            <w:r>
              <w:t>Governance</w:t>
            </w:r>
          </w:p>
        </w:tc>
        <w:tc>
          <w:tcPr>
            <w:tcW w:w="1843" w:type="dxa"/>
          </w:tcPr>
          <w:p w14:paraId="692877CE" w14:textId="77777777" w:rsidR="00D04B00" w:rsidRDefault="00D04B00" w:rsidP="00C12D51"/>
          <w:p w14:paraId="508914CB" w14:textId="77777777" w:rsidR="00E72926" w:rsidRDefault="00E72926" w:rsidP="00C12D51"/>
          <w:p w14:paraId="35EF8C5C" w14:textId="77777777" w:rsidR="00E72926" w:rsidRDefault="00E72926" w:rsidP="00E72926">
            <w:pPr>
              <w:pStyle w:val="ListParagraph"/>
              <w:numPr>
                <w:ilvl w:val="0"/>
                <w:numId w:val="42"/>
              </w:numPr>
            </w:pPr>
            <w:r>
              <w:t>Before July 2013</w:t>
            </w:r>
          </w:p>
          <w:p w14:paraId="41E86C61" w14:textId="77777777" w:rsidR="00E72926" w:rsidRDefault="00E72926" w:rsidP="00E72926"/>
          <w:p w14:paraId="0C929F9B" w14:textId="77777777" w:rsidR="00E72926" w:rsidRDefault="00E72926" w:rsidP="00E72926"/>
          <w:p w14:paraId="7001B308" w14:textId="77777777" w:rsidR="00E72926" w:rsidRDefault="00E72926" w:rsidP="00E72926"/>
          <w:p w14:paraId="0C3E1CD1" w14:textId="77777777" w:rsidR="00E72926" w:rsidRDefault="00E72926" w:rsidP="00E72926">
            <w:pPr>
              <w:pStyle w:val="ListParagraph"/>
              <w:numPr>
                <w:ilvl w:val="0"/>
                <w:numId w:val="42"/>
              </w:numPr>
            </w:pPr>
            <w:r>
              <w:t>Periodically</w:t>
            </w:r>
          </w:p>
        </w:tc>
        <w:tc>
          <w:tcPr>
            <w:tcW w:w="4852" w:type="dxa"/>
          </w:tcPr>
          <w:p w14:paraId="45E42869" w14:textId="77777777" w:rsidR="00D04B00" w:rsidRDefault="00D04B00" w:rsidP="00C12D51"/>
          <w:p w14:paraId="5CEF1D9C" w14:textId="77777777" w:rsidR="00E72926" w:rsidRDefault="00E72926" w:rsidP="00C12D51"/>
          <w:p w14:paraId="5C4FBEDD" w14:textId="77777777" w:rsidR="00E72926" w:rsidRDefault="00E72926" w:rsidP="0007333C">
            <w:pPr>
              <w:pStyle w:val="ListParagraph"/>
              <w:numPr>
                <w:ilvl w:val="0"/>
                <w:numId w:val="40"/>
              </w:numPr>
            </w:pPr>
            <w:r>
              <w:t>AMP publically available through ATSB website</w:t>
            </w:r>
          </w:p>
          <w:p w14:paraId="7A5A1247" w14:textId="77777777" w:rsidR="00E72926" w:rsidRDefault="00E72926" w:rsidP="0007333C">
            <w:pPr>
              <w:pStyle w:val="ListParagraph"/>
              <w:numPr>
                <w:ilvl w:val="0"/>
                <w:numId w:val="40"/>
              </w:numPr>
            </w:pPr>
            <w:r>
              <w:t>Staff have ready access to the AMP through the internal Hub</w:t>
            </w:r>
          </w:p>
          <w:p w14:paraId="6C7C2081" w14:textId="77777777" w:rsidR="00E72926" w:rsidRDefault="00E72926" w:rsidP="0007333C">
            <w:pPr>
              <w:pStyle w:val="ListParagraph"/>
              <w:numPr>
                <w:ilvl w:val="0"/>
                <w:numId w:val="40"/>
              </w:numPr>
            </w:pPr>
            <w:r>
              <w:t xml:space="preserve">Hard Copies distributed </w:t>
            </w:r>
          </w:p>
          <w:p w14:paraId="70F7F8A9" w14:textId="77777777" w:rsidR="00E72926" w:rsidRDefault="00E72926" w:rsidP="0007333C">
            <w:pPr>
              <w:pStyle w:val="ListParagraph"/>
              <w:numPr>
                <w:ilvl w:val="0"/>
                <w:numId w:val="40"/>
              </w:numPr>
            </w:pPr>
            <w:r>
              <w:t>Progress towards KPIs reported through annual report</w:t>
            </w:r>
          </w:p>
        </w:tc>
      </w:tr>
      <w:tr w:rsidR="00565ED3" w14:paraId="0D931C41" w14:textId="77777777" w:rsidTr="00C12D51">
        <w:tc>
          <w:tcPr>
            <w:tcW w:w="5495" w:type="dxa"/>
          </w:tcPr>
          <w:p w14:paraId="72573EEB" w14:textId="77777777" w:rsidR="00D04B00" w:rsidRDefault="00194A2D" w:rsidP="00194A2D">
            <w:pPr>
              <w:pStyle w:val="ListParagraph"/>
              <w:numPr>
                <w:ilvl w:val="1"/>
                <w:numId w:val="8"/>
              </w:numPr>
            </w:pPr>
            <w:r>
              <w:t>Data</w:t>
            </w:r>
          </w:p>
          <w:p w14:paraId="1815A081" w14:textId="77777777" w:rsidR="00E72926" w:rsidRDefault="00E72926" w:rsidP="00E72926"/>
          <w:p w14:paraId="10BB3455" w14:textId="77777777" w:rsidR="00E72926" w:rsidRDefault="00C61057" w:rsidP="00E72926">
            <w:pPr>
              <w:pStyle w:val="ListParagraph"/>
              <w:numPr>
                <w:ilvl w:val="0"/>
                <w:numId w:val="43"/>
              </w:numPr>
            </w:pPr>
            <w:r>
              <w:t>Established CALD</w:t>
            </w:r>
            <w:r w:rsidR="00565ED3">
              <w:t xml:space="preserve"> stakeholder data will be shared with relevant agencies and industry bodies</w:t>
            </w:r>
          </w:p>
          <w:p w14:paraId="78D34E95" w14:textId="77777777" w:rsidR="00565ED3" w:rsidRDefault="00565ED3" w:rsidP="00E72926">
            <w:pPr>
              <w:pStyle w:val="ListParagraph"/>
              <w:numPr>
                <w:ilvl w:val="0"/>
                <w:numId w:val="43"/>
              </w:numPr>
            </w:pPr>
            <w:r>
              <w:t xml:space="preserve">This data may also be fed into broader data collection schemes </w:t>
            </w:r>
          </w:p>
          <w:p w14:paraId="5D7AA2B0" w14:textId="77777777" w:rsidR="00D04B00" w:rsidRDefault="00D04B00" w:rsidP="00C12D51"/>
        </w:tc>
        <w:tc>
          <w:tcPr>
            <w:tcW w:w="1984" w:type="dxa"/>
          </w:tcPr>
          <w:p w14:paraId="44C01DD1" w14:textId="77777777" w:rsidR="00D04B00" w:rsidRDefault="00D04B00" w:rsidP="00C12D51"/>
          <w:p w14:paraId="1944B9A3" w14:textId="77777777" w:rsidR="00565ED3" w:rsidRDefault="00565ED3" w:rsidP="00C12D51"/>
          <w:p w14:paraId="7C926C77" w14:textId="77777777" w:rsidR="00565ED3" w:rsidRDefault="00565ED3" w:rsidP="00565ED3">
            <w:pPr>
              <w:pStyle w:val="ListParagraph"/>
              <w:numPr>
                <w:ilvl w:val="0"/>
                <w:numId w:val="43"/>
              </w:numPr>
            </w:pPr>
            <w:r>
              <w:t>Communications and Research</w:t>
            </w:r>
          </w:p>
        </w:tc>
        <w:tc>
          <w:tcPr>
            <w:tcW w:w="1843" w:type="dxa"/>
          </w:tcPr>
          <w:p w14:paraId="185811A9" w14:textId="77777777" w:rsidR="00D04B00" w:rsidRDefault="00D04B00" w:rsidP="00C12D51"/>
          <w:p w14:paraId="05AA40C3" w14:textId="77777777" w:rsidR="00565ED3" w:rsidRDefault="00565ED3" w:rsidP="00C12D51"/>
          <w:p w14:paraId="6F832D70" w14:textId="77777777" w:rsidR="00565ED3" w:rsidRDefault="00C61057" w:rsidP="00565ED3">
            <w:pPr>
              <w:pStyle w:val="ListParagraph"/>
              <w:numPr>
                <w:ilvl w:val="0"/>
                <w:numId w:val="43"/>
              </w:numPr>
            </w:pPr>
            <w:r>
              <w:t>June 2015</w:t>
            </w:r>
          </w:p>
        </w:tc>
        <w:tc>
          <w:tcPr>
            <w:tcW w:w="4852" w:type="dxa"/>
          </w:tcPr>
          <w:p w14:paraId="16730F29" w14:textId="77777777" w:rsidR="00D04B00" w:rsidRDefault="00D04B00" w:rsidP="00C12D51"/>
          <w:p w14:paraId="571959E8" w14:textId="77777777" w:rsidR="00565ED3" w:rsidRDefault="00565ED3" w:rsidP="00C12D51"/>
          <w:p w14:paraId="029AF419" w14:textId="77777777" w:rsidR="00565ED3" w:rsidRDefault="00C61057" w:rsidP="0007333C">
            <w:pPr>
              <w:pStyle w:val="ListParagraph"/>
              <w:numPr>
                <w:ilvl w:val="0"/>
                <w:numId w:val="45"/>
              </w:numPr>
            </w:pPr>
            <w:r>
              <w:t>CALD</w:t>
            </w:r>
            <w:r w:rsidR="00565ED3">
              <w:t xml:space="preserve"> stakeholder data established and shared with relevant agencies and industry bodies</w:t>
            </w:r>
          </w:p>
        </w:tc>
      </w:tr>
      <w:tr w:rsidR="00565ED3" w14:paraId="3F46A9D9" w14:textId="77777777" w:rsidTr="00C12D51">
        <w:tc>
          <w:tcPr>
            <w:tcW w:w="5495" w:type="dxa"/>
          </w:tcPr>
          <w:p w14:paraId="5FAFB3CB" w14:textId="77777777" w:rsidR="00D04B00" w:rsidRDefault="00D04B00" w:rsidP="00194A2D">
            <w:pPr>
              <w:pStyle w:val="ListParagraph"/>
              <w:numPr>
                <w:ilvl w:val="1"/>
                <w:numId w:val="8"/>
              </w:numPr>
            </w:pPr>
            <w:r>
              <w:t>Other actions</w:t>
            </w:r>
          </w:p>
          <w:p w14:paraId="72915CD7" w14:textId="77777777" w:rsidR="00565ED3" w:rsidRDefault="00565ED3" w:rsidP="00565ED3"/>
          <w:p w14:paraId="4DA3AC1A" w14:textId="77777777" w:rsidR="00565ED3" w:rsidRDefault="00565ED3" w:rsidP="00565ED3">
            <w:pPr>
              <w:pStyle w:val="ListParagraph"/>
              <w:numPr>
                <w:ilvl w:val="0"/>
                <w:numId w:val="44"/>
              </w:numPr>
            </w:pPr>
            <w:r>
              <w:t>AMP will be continually monitored and reviewed for continuous improvement and quality assurance purposes</w:t>
            </w:r>
          </w:p>
          <w:p w14:paraId="1B0E2F00" w14:textId="77777777" w:rsidR="00565ED3" w:rsidRDefault="00565ED3" w:rsidP="00565ED3">
            <w:pPr>
              <w:pStyle w:val="ListParagraph"/>
            </w:pPr>
          </w:p>
        </w:tc>
        <w:tc>
          <w:tcPr>
            <w:tcW w:w="1984" w:type="dxa"/>
          </w:tcPr>
          <w:p w14:paraId="0A2DC668" w14:textId="77777777" w:rsidR="00D04B00" w:rsidRDefault="00D04B00" w:rsidP="00C12D51"/>
          <w:p w14:paraId="19212820" w14:textId="77777777" w:rsidR="00565ED3" w:rsidRDefault="00565ED3" w:rsidP="00C12D51"/>
          <w:p w14:paraId="280D0AC6" w14:textId="77777777" w:rsidR="00565ED3" w:rsidRDefault="00565ED3" w:rsidP="00565ED3">
            <w:pPr>
              <w:pStyle w:val="ListParagraph"/>
              <w:numPr>
                <w:ilvl w:val="0"/>
                <w:numId w:val="44"/>
              </w:numPr>
            </w:pPr>
            <w:r>
              <w:t>Champion</w:t>
            </w:r>
          </w:p>
        </w:tc>
        <w:tc>
          <w:tcPr>
            <w:tcW w:w="1843" w:type="dxa"/>
          </w:tcPr>
          <w:p w14:paraId="17631BC8" w14:textId="77777777" w:rsidR="00D04B00" w:rsidRDefault="00D04B00" w:rsidP="00C12D51"/>
          <w:p w14:paraId="502D96EE" w14:textId="77777777" w:rsidR="00565ED3" w:rsidRDefault="00565ED3" w:rsidP="00C12D51"/>
          <w:p w14:paraId="0004090C" w14:textId="77777777" w:rsidR="00565ED3" w:rsidRDefault="00C61057" w:rsidP="00565ED3">
            <w:pPr>
              <w:pStyle w:val="ListParagraph"/>
              <w:numPr>
                <w:ilvl w:val="0"/>
                <w:numId w:val="44"/>
              </w:numPr>
            </w:pPr>
            <w:r>
              <w:t>Quarterly</w:t>
            </w:r>
          </w:p>
        </w:tc>
        <w:tc>
          <w:tcPr>
            <w:tcW w:w="4852" w:type="dxa"/>
          </w:tcPr>
          <w:p w14:paraId="35DBCA02" w14:textId="77777777" w:rsidR="00D04B00" w:rsidRDefault="00D04B00" w:rsidP="00C12D51"/>
          <w:p w14:paraId="4BE16E7E" w14:textId="77777777" w:rsidR="00565ED3" w:rsidRDefault="00565ED3" w:rsidP="00C12D51"/>
          <w:p w14:paraId="2258AF38" w14:textId="77777777" w:rsidR="00565ED3" w:rsidRDefault="00565ED3" w:rsidP="00565ED3">
            <w:pPr>
              <w:pStyle w:val="ListParagraph"/>
              <w:numPr>
                <w:ilvl w:val="0"/>
                <w:numId w:val="40"/>
              </w:numPr>
            </w:pPr>
            <w:r>
              <w:t xml:space="preserve">All </w:t>
            </w:r>
            <w:r w:rsidR="002865FB">
              <w:t>amendments</w:t>
            </w:r>
            <w:r>
              <w:t xml:space="preserve"> will be captured through tracked changes</w:t>
            </w:r>
            <w:r w:rsidR="002865FB">
              <w:t xml:space="preserve"> and version controls</w:t>
            </w:r>
            <w:r>
              <w:t xml:space="preserve">  </w:t>
            </w:r>
          </w:p>
        </w:tc>
      </w:tr>
    </w:tbl>
    <w:p w14:paraId="14EEADA5" w14:textId="77777777" w:rsidR="00DF705B" w:rsidRDefault="00DF705B" w:rsidP="00565ED3"/>
    <w:sectPr w:rsidR="00DF705B" w:rsidSect="00D63B43">
      <w:pgSz w:w="16838" w:h="11906" w:orient="landscape" w:code="9"/>
      <w:pgMar w:top="1440" w:right="1440" w:bottom="1440" w:left="144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094BF" w14:textId="77777777" w:rsidR="00FE4C5C" w:rsidRDefault="00FE4C5C" w:rsidP="00FA2638">
      <w:pPr>
        <w:spacing w:after="0" w:line="240" w:lineRule="auto"/>
      </w:pPr>
      <w:r>
        <w:separator/>
      </w:r>
    </w:p>
  </w:endnote>
  <w:endnote w:type="continuationSeparator" w:id="0">
    <w:p w14:paraId="6DE7B71F" w14:textId="77777777" w:rsidR="00FE4C5C" w:rsidRDefault="00FE4C5C" w:rsidP="00FA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NeueL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UniversL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8552E" w14:textId="77777777" w:rsidR="00FE4C5C" w:rsidRDefault="00FE4C5C" w:rsidP="00FA2638">
      <w:pPr>
        <w:spacing w:after="0" w:line="240" w:lineRule="auto"/>
      </w:pPr>
      <w:r>
        <w:separator/>
      </w:r>
    </w:p>
  </w:footnote>
  <w:footnote w:type="continuationSeparator" w:id="0">
    <w:p w14:paraId="54D55258" w14:textId="77777777" w:rsidR="00FE4C5C" w:rsidRDefault="00FE4C5C" w:rsidP="00FA2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D19"/>
    <w:multiLevelType w:val="multilevel"/>
    <w:tmpl w:val="EA520A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4711D71"/>
    <w:multiLevelType w:val="hybridMultilevel"/>
    <w:tmpl w:val="AA3EB302"/>
    <w:lvl w:ilvl="0" w:tplc="7C5E8C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05E32"/>
    <w:multiLevelType w:val="hybridMultilevel"/>
    <w:tmpl w:val="67BC0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0588B"/>
    <w:multiLevelType w:val="hybridMultilevel"/>
    <w:tmpl w:val="F4B44492"/>
    <w:lvl w:ilvl="0" w:tplc="7C5E8C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5573B"/>
    <w:multiLevelType w:val="hybridMultilevel"/>
    <w:tmpl w:val="CFBA8E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71B5C"/>
    <w:multiLevelType w:val="hybridMultilevel"/>
    <w:tmpl w:val="41164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968A8"/>
    <w:multiLevelType w:val="hybridMultilevel"/>
    <w:tmpl w:val="0972D7BA"/>
    <w:lvl w:ilvl="0" w:tplc="59C66922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LT-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65FD1"/>
    <w:multiLevelType w:val="hybridMultilevel"/>
    <w:tmpl w:val="7C8A3276"/>
    <w:lvl w:ilvl="0" w:tplc="BB7299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A114F"/>
    <w:multiLevelType w:val="hybridMultilevel"/>
    <w:tmpl w:val="93BE753E"/>
    <w:lvl w:ilvl="0" w:tplc="59C66922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LT-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F761D"/>
    <w:multiLevelType w:val="hybridMultilevel"/>
    <w:tmpl w:val="32682E66"/>
    <w:lvl w:ilvl="0" w:tplc="7C5E8C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D6D8A"/>
    <w:multiLevelType w:val="hybridMultilevel"/>
    <w:tmpl w:val="C8503502"/>
    <w:lvl w:ilvl="0" w:tplc="7C5E8C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D689A"/>
    <w:multiLevelType w:val="hybridMultilevel"/>
    <w:tmpl w:val="86C839CE"/>
    <w:lvl w:ilvl="0" w:tplc="59C66922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LT-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A3F82"/>
    <w:multiLevelType w:val="hybridMultilevel"/>
    <w:tmpl w:val="77B017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504F2"/>
    <w:multiLevelType w:val="multilevel"/>
    <w:tmpl w:val="CCE2A7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0E33812"/>
    <w:multiLevelType w:val="hybridMultilevel"/>
    <w:tmpl w:val="2DA68240"/>
    <w:lvl w:ilvl="0" w:tplc="7C5E8C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C51DE"/>
    <w:multiLevelType w:val="hybridMultilevel"/>
    <w:tmpl w:val="F18ACF8E"/>
    <w:lvl w:ilvl="0" w:tplc="7C5E8C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27698"/>
    <w:multiLevelType w:val="hybridMultilevel"/>
    <w:tmpl w:val="C85C1256"/>
    <w:lvl w:ilvl="0" w:tplc="59C66922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LT-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9247A"/>
    <w:multiLevelType w:val="multilevel"/>
    <w:tmpl w:val="4C6062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39DE37AF"/>
    <w:multiLevelType w:val="hybridMultilevel"/>
    <w:tmpl w:val="05DAD008"/>
    <w:lvl w:ilvl="0" w:tplc="7C5E8C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006D1"/>
    <w:multiLevelType w:val="hybridMultilevel"/>
    <w:tmpl w:val="61B85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F53D4"/>
    <w:multiLevelType w:val="hybridMultilevel"/>
    <w:tmpl w:val="6ADE49BE"/>
    <w:lvl w:ilvl="0" w:tplc="59C66922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LT-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982741"/>
    <w:multiLevelType w:val="hybridMultilevel"/>
    <w:tmpl w:val="D58C0C90"/>
    <w:lvl w:ilvl="0" w:tplc="59C66922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LT-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459A7"/>
    <w:multiLevelType w:val="hybridMultilevel"/>
    <w:tmpl w:val="71DA2D28"/>
    <w:lvl w:ilvl="0" w:tplc="59C66922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LT-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8670CE"/>
    <w:multiLevelType w:val="hybridMultilevel"/>
    <w:tmpl w:val="B66E1914"/>
    <w:lvl w:ilvl="0" w:tplc="7C5E8C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27E8A"/>
    <w:multiLevelType w:val="hybridMultilevel"/>
    <w:tmpl w:val="4D18F17A"/>
    <w:lvl w:ilvl="0" w:tplc="59C66922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LT-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436E2D"/>
    <w:multiLevelType w:val="hybridMultilevel"/>
    <w:tmpl w:val="4CEC471C"/>
    <w:lvl w:ilvl="0" w:tplc="7C5E8C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544C8C"/>
    <w:multiLevelType w:val="hybridMultilevel"/>
    <w:tmpl w:val="73BEC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879E2"/>
    <w:multiLevelType w:val="hybridMultilevel"/>
    <w:tmpl w:val="3258A04A"/>
    <w:lvl w:ilvl="0" w:tplc="59C66922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LT-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3A5324"/>
    <w:multiLevelType w:val="hybridMultilevel"/>
    <w:tmpl w:val="A34C2B92"/>
    <w:lvl w:ilvl="0" w:tplc="59C66922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LT-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3B0901"/>
    <w:multiLevelType w:val="hybridMultilevel"/>
    <w:tmpl w:val="1AA0C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665682"/>
    <w:multiLevelType w:val="hybridMultilevel"/>
    <w:tmpl w:val="1458D702"/>
    <w:lvl w:ilvl="0" w:tplc="59C66922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LT-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2F29FB"/>
    <w:multiLevelType w:val="hybridMultilevel"/>
    <w:tmpl w:val="0E1E16E2"/>
    <w:lvl w:ilvl="0" w:tplc="59C66922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LT-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E13B3E"/>
    <w:multiLevelType w:val="hybridMultilevel"/>
    <w:tmpl w:val="3DC4F572"/>
    <w:lvl w:ilvl="0" w:tplc="59C66922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LT-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75D21"/>
    <w:multiLevelType w:val="multilevel"/>
    <w:tmpl w:val="FEC44B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5E973A6"/>
    <w:multiLevelType w:val="hybridMultilevel"/>
    <w:tmpl w:val="7BCE2CB0"/>
    <w:lvl w:ilvl="0" w:tplc="59C66922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LT-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FD7AB9"/>
    <w:multiLevelType w:val="hybridMultilevel"/>
    <w:tmpl w:val="A38CCD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370F39"/>
    <w:multiLevelType w:val="hybridMultilevel"/>
    <w:tmpl w:val="48927F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902CD6"/>
    <w:multiLevelType w:val="hybridMultilevel"/>
    <w:tmpl w:val="4532F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E8295C"/>
    <w:multiLevelType w:val="multilevel"/>
    <w:tmpl w:val="C696FD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6CA13AD6"/>
    <w:multiLevelType w:val="multilevel"/>
    <w:tmpl w:val="DFAA22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6CE55334"/>
    <w:multiLevelType w:val="hybridMultilevel"/>
    <w:tmpl w:val="84A8BDE2"/>
    <w:lvl w:ilvl="0" w:tplc="59C66922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LT-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B66FE2"/>
    <w:multiLevelType w:val="hybridMultilevel"/>
    <w:tmpl w:val="F25AF6AE"/>
    <w:lvl w:ilvl="0" w:tplc="7C5E8C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D68FF"/>
    <w:multiLevelType w:val="hybridMultilevel"/>
    <w:tmpl w:val="C20022F6"/>
    <w:lvl w:ilvl="0" w:tplc="59C66922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LT-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F074D3"/>
    <w:multiLevelType w:val="hybridMultilevel"/>
    <w:tmpl w:val="598E0B42"/>
    <w:lvl w:ilvl="0" w:tplc="59C66922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LT-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16B49"/>
    <w:multiLevelType w:val="hybridMultilevel"/>
    <w:tmpl w:val="20280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73593C"/>
    <w:multiLevelType w:val="hybridMultilevel"/>
    <w:tmpl w:val="813C77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5"/>
  </w:num>
  <w:num w:numId="3">
    <w:abstractNumId w:val="39"/>
  </w:num>
  <w:num w:numId="4">
    <w:abstractNumId w:val="17"/>
  </w:num>
  <w:num w:numId="5">
    <w:abstractNumId w:val="13"/>
  </w:num>
  <w:num w:numId="6">
    <w:abstractNumId w:val="0"/>
  </w:num>
  <w:num w:numId="7">
    <w:abstractNumId w:val="38"/>
  </w:num>
  <w:num w:numId="8">
    <w:abstractNumId w:val="33"/>
  </w:num>
  <w:num w:numId="9">
    <w:abstractNumId w:val="36"/>
  </w:num>
  <w:num w:numId="10">
    <w:abstractNumId w:val="4"/>
  </w:num>
  <w:num w:numId="11">
    <w:abstractNumId w:val="7"/>
  </w:num>
  <w:num w:numId="12">
    <w:abstractNumId w:val="12"/>
  </w:num>
  <w:num w:numId="13">
    <w:abstractNumId w:val="37"/>
  </w:num>
  <w:num w:numId="14">
    <w:abstractNumId w:val="5"/>
  </w:num>
  <w:num w:numId="15">
    <w:abstractNumId w:val="2"/>
  </w:num>
  <w:num w:numId="16">
    <w:abstractNumId w:val="25"/>
  </w:num>
  <w:num w:numId="17">
    <w:abstractNumId w:val="15"/>
  </w:num>
  <w:num w:numId="18">
    <w:abstractNumId w:val="19"/>
  </w:num>
  <w:num w:numId="19">
    <w:abstractNumId w:val="41"/>
  </w:num>
  <w:num w:numId="20">
    <w:abstractNumId w:val="29"/>
  </w:num>
  <w:num w:numId="21">
    <w:abstractNumId w:val="44"/>
  </w:num>
  <w:num w:numId="22">
    <w:abstractNumId w:val="21"/>
  </w:num>
  <w:num w:numId="23">
    <w:abstractNumId w:val="16"/>
  </w:num>
  <w:num w:numId="24">
    <w:abstractNumId w:val="20"/>
  </w:num>
  <w:num w:numId="25">
    <w:abstractNumId w:val="40"/>
  </w:num>
  <w:num w:numId="26">
    <w:abstractNumId w:val="27"/>
  </w:num>
  <w:num w:numId="27">
    <w:abstractNumId w:val="8"/>
  </w:num>
  <w:num w:numId="28">
    <w:abstractNumId w:val="3"/>
  </w:num>
  <w:num w:numId="29">
    <w:abstractNumId w:val="1"/>
  </w:num>
  <w:num w:numId="30">
    <w:abstractNumId w:val="18"/>
  </w:num>
  <w:num w:numId="31">
    <w:abstractNumId w:val="34"/>
  </w:num>
  <w:num w:numId="32">
    <w:abstractNumId w:val="32"/>
  </w:num>
  <w:num w:numId="33">
    <w:abstractNumId w:val="30"/>
  </w:num>
  <w:num w:numId="34">
    <w:abstractNumId w:val="9"/>
  </w:num>
  <w:num w:numId="35">
    <w:abstractNumId w:val="28"/>
  </w:num>
  <w:num w:numId="36">
    <w:abstractNumId w:val="10"/>
  </w:num>
  <w:num w:numId="37">
    <w:abstractNumId w:val="24"/>
  </w:num>
  <w:num w:numId="38">
    <w:abstractNumId w:val="43"/>
  </w:num>
  <w:num w:numId="39">
    <w:abstractNumId w:val="22"/>
  </w:num>
  <w:num w:numId="40">
    <w:abstractNumId w:val="14"/>
  </w:num>
  <w:num w:numId="41">
    <w:abstractNumId w:val="11"/>
  </w:num>
  <w:num w:numId="42">
    <w:abstractNumId w:val="31"/>
  </w:num>
  <w:num w:numId="43">
    <w:abstractNumId w:val="6"/>
  </w:num>
  <w:num w:numId="44">
    <w:abstractNumId w:val="42"/>
  </w:num>
  <w:num w:numId="45">
    <w:abstractNumId w:val="23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5B"/>
    <w:rsid w:val="0001302F"/>
    <w:rsid w:val="0004796B"/>
    <w:rsid w:val="0007333C"/>
    <w:rsid w:val="000B3658"/>
    <w:rsid w:val="00122209"/>
    <w:rsid w:val="00194A2D"/>
    <w:rsid w:val="001A76AB"/>
    <w:rsid w:val="00244FF1"/>
    <w:rsid w:val="00273B3A"/>
    <w:rsid w:val="002865FB"/>
    <w:rsid w:val="002B1682"/>
    <w:rsid w:val="002F3F8F"/>
    <w:rsid w:val="003138BE"/>
    <w:rsid w:val="003205C3"/>
    <w:rsid w:val="00324051"/>
    <w:rsid w:val="00342737"/>
    <w:rsid w:val="003538A0"/>
    <w:rsid w:val="003A4442"/>
    <w:rsid w:val="004159D7"/>
    <w:rsid w:val="004D3E55"/>
    <w:rsid w:val="00500B0F"/>
    <w:rsid w:val="00565ED3"/>
    <w:rsid w:val="00594C89"/>
    <w:rsid w:val="006335E8"/>
    <w:rsid w:val="00651A31"/>
    <w:rsid w:val="006D4C39"/>
    <w:rsid w:val="006F1E9C"/>
    <w:rsid w:val="006F7DAC"/>
    <w:rsid w:val="007B5F0F"/>
    <w:rsid w:val="008116B4"/>
    <w:rsid w:val="00815028"/>
    <w:rsid w:val="00837FD9"/>
    <w:rsid w:val="00853BDE"/>
    <w:rsid w:val="0093432A"/>
    <w:rsid w:val="00A73358"/>
    <w:rsid w:val="00AC3382"/>
    <w:rsid w:val="00AD5D70"/>
    <w:rsid w:val="00AE3113"/>
    <w:rsid w:val="00BC4776"/>
    <w:rsid w:val="00BC4809"/>
    <w:rsid w:val="00BD5123"/>
    <w:rsid w:val="00C1522F"/>
    <w:rsid w:val="00C576AE"/>
    <w:rsid w:val="00C61057"/>
    <w:rsid w:val="00C91E01"/>
    <w:rsid w:val="00D04B00"/>
    <w:rsid w:val="00D51108"/>
    <w:rsid w:val="00D63B43"/>
    <w:rsid w:val="00DF705B"/>
    <w:rsid w:val="00E318F9"/>
    <w:rsid w:val="00E43EEA"/>
    <w:rsid w:val="00E7171B"/>
    <w:rsid w:val="00E71E5B"/>
    <w:rsid w:val="00E72926"/>
    <w:rsid w:val="00E967CE"/>
    <w:rsid w:val="00F5658B"/>
    <w:rsid w:val="00F664B9"/>
    <w:rsid w:val="00F67C0C"/>
    <w:rsid w:val="00F8435D"/>
    <w:rsid w:val="00FA2638"/>
    <w:rsid w:val="00FA3F8E"/>
    <w:rsid w:val="00FC5AC3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B48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5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638"/>
  </w:style>
  <w:style w:type="paragraph" w:styleId="Footer">
    <w:name w:val="footer"/>
    <w:basedOn w:val="Normal"/>
    <w:link w:val="FooterChar"/>
    <w:uiPriority w:val="99"/>
    <w:unhideWhenUsed/>
    <w:rsid w:val="00FA2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638"/>
  </w:style>
  <w:style w:type="character" w:styleId="Hyperlink">
    <w:name w:val="Hyperlink"/>
    <w:basedOn w:val="DefaultParagraphFont"/>
    <w:rsid w:val="004D3E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5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638"/>
  </w:style>
  <w:style w:type="paragraph" w:styleId="Footer">
    <w:name w:val="footer"/>
    <w:basedOn w:val="Normal"/>
    <w:link w:val="FooterChar"/>
    <w:uiPriority w:val="99"/>
    <w:unhideWhenUsed/>
    <w:rsid w:val="00FA2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638"/>
  </w:style>
  <w:style w:type="character" w:styleId="Hyperlink">
    <w:name w:val="Hyperlink"/>
    <w:basedOn w:val="DefaultParagraphFont"/>
    <w:rsid w:val="004D3E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CFB57-8D50-3F48-BA2D-FEA87A19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1532</Words>
  <Characters>9627</Characters>
  <Application>Microsoft Macintosh Word</Application>
  <DocSecurity>0</DocSecurity>
  <Lines>528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ATSB</Company>
  <LinksUpToDate>false</LinksUpToDate>
  <CharactersWithSpaces>11083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Multicultural Action Plan</dc:title>
  <dc:subject>Multicultural Action Plan</dc:subject>
  <dc:creator> </dc:creator>
  <cp:keywords/>
  <dc:description/>
  <cp:lastModifiedBy>David Hope</cp:lastModifiedBy>
  <cp:revision>4</cp:revision>
  <dcterms:created xsi:type="dcterms:W3CDTF">2013-06-20T08:06:00Z</dcterms:created>
  <dcterms:modified xsi:type="dcterms:W3CDTF">2013-06-21T01:55:00Z</dcterms:modified>
  <cp:category/>
</cp:coreProperties>
</file>